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B7DE" w14:textId="24447952" w:rsidR="00C85457" w:rsidRPr="00E55C4C" w:rsidRDefault="64F4D776" w:rsidP="004A58A5">
      <w:pPr>
        <w:spacing w:before="0"/>
        <w:rPr>
          <w:rFonts w:ascii="Century Gothic" w:hAnsi="Century Gothic" w:cs="Arial"/>
          <w:b/>
          <w:bCs/>
          <w:color w:val="77C29C" w:themeColor="accent2"/>
          <w:sz w:val="28"/>
          <w:szCs w:val="28"/>
        </w:rPr>
      </w:pPr>
      <w:permStart w:id="754650410" w:edGrp="everyone"/>
      <w:permEnd w:id="754650410"/>
      <w:r w:rsidRPr="00E55C4C">
        <w:rPr>
          <w:rFonts w:ascii="Century Gothic" w:hAnsi="Century Gothic" w:cs="Arial"/>
          <w:b/>
          <w:bCs/>
          <w:color w:val="77C29C" w:themeColor="accent2"/>
          <w:sz w:val="28"/>
          <w:szCs w:val="28"/>
        </w:rPr>
        <w:t xml:space="preserve">Service Level Agreement for </w:t>
      </w:r>
      <w:r w:rsidR="00407428" w:rsidRPr="00E55C4C">
        <w:rPr>
          <w:rFonts w:ascii="Century Gothic" w:hAnsi="Century Gothic" w:cs="Arial"/>
          <w:b/>
          <w:bCs/>
          <w:color w:val="77C29C" w:themeColor="accent2"/>
          <w:sz w:val="28"/>
          <w:szCs w:val="28"/>
        </w:rPr>
        <w:t xml:space="preserve">Community Pharmacy </w:t>
      </w:r>
      <w:r w:rsidR="00560114" w:rsidRPr="00E55C4C">
        <w:rPr>
          <w:rFonts w:ascii="Century Gothic" w:hAnsi="Century Gothic" w:cs="Arial"/>
          <w:b/>
          <w:bCs/>
          <w:color w:val="77C29C" w:themeColor="accent2"/>
          <w:sz w:val="28"/>
          <w:szCs w:val="28"/>
        </w:rPr>
        <w:t>Emergency Naloxone Administration Programme</w:t>
      </w:r>
      <w:r w:rsidR="002D487C" w:rsidRPr="00E55C4C">
        <w:rPr>
          <w:rFonts w:ascii="Century Gothic" w:hAnsi="Century Gothic" w:cs="Arial"/>
          <w:b/>
          <w:bCs/>
          <w:color w:val="77C29C" w:themeColor="accent2"/>
          <w:sz w:val="28"/>
          <w:szCs w:val="28"/>
        </w:rPr>
        <w:t xml:space="preserve"> (ENAP)</w:t>
      </w:r>
      <w:r w:rsidR="00F47E62" w:rsidRPr="00E55C4C">
        <w:rPr>
          <w:rFonts w:ascii="Century Gothic" w:hAnsi="Century Gothic" w:cs="Arial"/>
          <w:b/>
          <w:bCs/>
          <w:color w:val="77C29C" w:themeColor="accent2"/>
          <w:sz w:val="28"/>
          <w:szCs w:val="28"/>
        </w:rPr>
        <w:t xml:space="preserve"> and </w:t>
      </w:r>
      <w:proofErr w:type="gramStart"/>
      <w:r w:rsidR="00F47E62" w:rsidRPr="00E55C4C">
        <w:rPr>
          <w:rFonts w:ascii="Century Gothic" w:hAnsi="Century Gothic" w:cs="Arial"/>
          <w:b/>
          <w:bCs/>
          <w:color w:val="77C29C" w:themeColor="accent2"/>
          <w:sz w:val="28"/>
          <w:szCs w:val="28"/>
        </w:rPr>
        <w:t>Take Home</w:t>
      </w:r>
      <w:proofErr w:type="gramEnd"/>
      <w:r w:rsidR="00F47E62" w:rsidRPr="00E55C4C">
        <w:rPr>
          <w:rFonts w:ascii="Century Gothic" w:hAnsi="Century Gothic" w:cs="Arial"/>
          <w:b/>
          <w:bCs/>
          <w:color w:val="77C29C" w:themeColor="accent2"/>
          <w:sz w:val="28"/>
          <w:szCs w:val="28"/>
        </w:rPr>
        <w:t xml:space="preserve"> Naloxone (THN)</w:t>
      </w:r>
    </w:p>
    <w:p w14:paraId="571F6F55" w14:textId="77777777" w:rsidR="00287F40" w:rsidRPr="00E55C4C" w:rsidRDefault="00287F40" w:rsidP="00A86B6A">
      <w:pPr>
        <w:spacing w:before="0"/>
        <w:rPr>
          <w:rFonts w:ascii="Century Gothic" w:hAnsi="Century Gothic" w:cs="Arial"/>
          <w:color w:val="77C29C" w:themeColor="accent2"/>
          <w:sz w:val="22"/>
        </w:rPr>
      </w:pPr>
    </w:p>
    <w:tbl>
      <w:tblPr>
        <w:tblW w:w="10763" w:type="dxa"/>
        <w:jc w:val="center"/>
        <w:tblBorders>
          <w:top w:val="single" w:sz="8" w:space="0" w:color="77C29C" w:themeColor="accent2"/>
          <w:left w:val="single" w:sz="8" w:space="0" w:color="77C29C" w:themeColor="accent2"/>
          <w:bottom w:val="single" w:sz="8" w:space="0" w:color="77C29C" w:themeColor="accent2"/>
          <w:right w:val="single" w:sz="8" w:space="0" w:color="77C29C" w:themeColor="accent2"/>
          <w:insideH w:val="single" w:sz="8" w:space="0" w:color="77C29C" w:themeColor="accent2"/>
          <w:insideV w:val="single" w:sz="8" w:space="0" w:color="77C29C" w:themeColor="accent2"/>
        </w:tblBorders>
        <w:tblLook w:val="04A0" w:firstRow="1" w:lastRow="0" w:firstColumn="1" w:lastColumn="0" w:noHBand="0" w:noVBand="1"/>
      </w:tblPr>
      <w:tblGrid>
        <w:gridCol w:w="2967"/>
        <w:gridCol w:w="7796"/>
      </w:tblGrid>
      <w:tr w:rsidR="00883152" w:rsidRPr="00E55C4C" w14:paraId="518E8854" w14:textId="77777777" w:rsidTr="006C6062">
        <w:trPr>
          <w:trHeight w:val="57"/>
          <w:jc w:val="center"/>
        </w:trPr>
        <w:tc>
          <w:tcPr>
            <w:tcW w:w="2967" w:type="dxa"/>
          </w:tcPr>
          <w:p w14:paraId="38A8C04A" w14:textId="3B06C45E" w:rsidR="00883152" w:rsidRPr="00E55C4C" w:rsidRDefault="00883152" w:rsidP="00A86B6A">
            <w:pPr>
              <w:spacing w:before="0"/>
              <w:rPr>
                <w:rFonts w:ascii="Century Gothic" w:eastAsia="Calibri" w:hAnsi="Century Gothic" w:cs="Arial"/>
                <w:sz w:val="22"/>
              </w:rPr>
            </w:pPr>
            <w:r w:rsidRPr="00E55C4C">
              <w:rPr>
                <w:rFonts w:ascii="Century Gothic" w:eastAsia="Calibri" w:hAnsi="Century Gothic" w:cs="Arial"/>
                <w:sz w:val="22"/>
              </w:rPr>
              <w:t>Service Name</w:t>
            </w:r>
            <w:r w:rsidR="001C7223" w:rsidRPr="00E55C4C">
              <w:rPr>
                <w:rFonts w:ascii="Century Gothic" w:eastAsia="Calibri" w:hAnsi="Century Gothic" w:cs="Arial"/>
                <w:sz w:val="22"/>
              </w:rPr>
              <w:t>/Location</w:t>
            </w:r>
          </w:p>
        </w:tc>
        <w:tc>
          <w:tcPr>
            <w:tcW w:w="7796" w:type="dxa"/>
          </w:tcPr>
          <w:p w14:paraId="3CE5A8EE" w14:textId="001B2B2D" w:rsidR="00883152" w:rsidRPr="00E55C4C" w:rsidRDefault="00C053BE" w:rsidP="4400FDFF">
            <w:pPr>
              <w:spacing w:before="0"/>
              <w:rPr>
                <w:rFonts w:ascii="Century Gothic" w:eastAsia="Calibri" w:hAnsi="Century Gothic" w:cs="Arial"/>
                <w:szCs w:val="24"/>
              </w:rPr>
            </w:pPr>
            <w:r>
              <w:rPr>
                <w:rFonts w:ascii="Century Gothic" w:eastAsia="Calibri" w:hAnsi="Century Gothic" w:cs="Arial"/>
                <w:szCs w:val="24"/>
              </w:rPr>
              <w:t>Barnsley Recovery Steps</w:t>
            </w:r>
          </w:p>
        </w:tc>
      </w:tr>
      <w:tr w:rsidR="00287F40" w:rsidRPr="00E55C4C" w14:paraId="2874883B" w14:textId="77777777" w:rsidTr="006C6062">
        <w:trPr>
          <w:trHeight w:val="57"/>
          <w:jc w:val="center"/>
        </w:trPr>
        <w:tc>
          <w:tcPr>
            <w:tcW w:w="2967" w:type="dxa"/>
          </w:tcPr>
          <w:p w14:paraId="2FCC52A8" w14:textId="77777777"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Version</w:t>
            </w:r>
          </w:p>
        </w:tc>
        <w:tc>
          <w:tcPr>
            <w:tcW w:w="7796" w:type="dxa"/>
          </w:tcPr>
          <w:p w14:paraId="4C8BC0E9" w14:textId="5A9CDDF3" w:rsidR="00287F40" w:rsidRPr="00E55C4C" w:rsidRDefault="00287F40" w:rsidP="519764EF">
            <w:pPr>
              <w:spacing w:before="0"/>
              <w:rPr>
                <w:rFonts w:ascii="Century Gothic" w:eastAsia="Calibri" w:hAnsi="Century Gothic" w:cs="Arial"/>
                <w:sz w:val="22"/>
              </w:rPr>
            </w:pPr>
            <w:r w:rsidRPr="00E55C4C">
              <w:rPr>
                <w:rFonts w:ascii="Century Gothic" w:eastAsia="Calibri" w:hAnsi="Century Gothic" w:cs="Arial"/>
                <w:sz w:val="22"/>
              </w:rPr>
              <w:t>V</w:t>
            </w:r>
            <w:r w:rsidR="00C053BE">
              <w:rPr>
                <w:rFonts w:ascii="Century Gothic" w:eastAsia="Calibri" w:hAnsi="Century Gothic" w:cs="Arial"/>
                <w:sz w:val="22"/>
              </w:rPr>
              <w:t>2</w:t>
            </w:r>
            <w:r w:rsidR="00697B7B" w:rsidRPr="00E55C4C">
              <w:rPr>
                <w:rFonts w:ascii="Century Gothic" w:eastAsia="Calibri" w:hAnsi="Century Gothic" w:cs="Arial"/>
                <w:sz w:val="22"/>
              </w:rPr>
              <w:t>.0</w:t>
            </w:r>
            <w:r w:rsidR="00A22AC2" w:rsidRPr="00E55C4C">
              <w:rPr>
                <w:rFonts w:ascii="Century Gothic" w:eastAsia="Calibri" w:hAnsi="Century Gothic" w:cs="Arial"/>
                <w:sz w:val="22"/>
              </w:rPr>
              <w:t xml:space="preserve"> </w:t>
            </w:r>
          </w:p>
        </w:tc>
      </w:tr>
      <w:tr w:rsidR="00287F40" w:rsidRPr="00E55C4C" w14:paraId="4F105C29" w14:textId="77777777" w:rsidTr="006C6062">
        <w:trPr>
          <w:trHeight w:val="57"/>
          <w:jc w:val="center"/>
        </w:trPr>
        <w:tc>
          <w:tcPr>
            <w:tcW w:w="2967" w:type="dxa"/>
          </w:tcPr>
          <w:p w14:paraId="199B1441" w14:textId="77777777"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Name and Role of Author</w:t>
            </w:r>
          </w:p>
        </w:tc>
        <w:tc>
          <w:tcPr>
            <w:tcW w:w="7796" w:type="dxa"/>
          </w:tcPr>
          <w:p w14:paraId="6D64CCC4" w14:textId="78134B6B" w:rsidR="00716145" w:rsidRPr="00E55C4C" w:rsidRDefault="00990185" w:rsidP="00A86B6A">
            <w:pPr>
              <w:spacing w:before="0"/>
              <w:rPr>
                <w:rFonts w:ascii="Century Gothic" w:eastAsia="Calibri" w:hAnsi="Century Gothic" w:cs="Arial"/>
                <w:sz w:val="22"/>
              </w:rPr>
            </w:pPr>
            <w:r w:rsidRPr="00E55C4C">
              <w:rPr>
                <w:rFonts w:ascii="Century Gothic" w:eastAsia="Calibri" w:hAnsi="Century Gothic" w:cs="Arial"/>
                <w:sz w:val="22"/>
              </w:rPr>
              <w:t>Barbara Zub (National Pharmacy Tech</w:t>
            </w:r>
            <w:r w:rsidR="00C92F0A" w:rsidRPr="00E55C4C">
              <w:rPr>
                <w:rFonts w:ascii="Century Gothic" w:eastAsia="Calibri" w:hAnsi="Century Gothic" w:cs="Arial"/>
                <w:sz w:val="22"/>
              </w:rPr>
              <w:t>nician)</w:t>
            </w:r>
          </w:p>
        </w:tc>
      </w:tr>
      <w:tr w:rsidR="00287F40" w:rsidRPr="00E55C4C" w14:paraId="5DA544B8" w14:textId="77777777" w:rsidTr="006C6062">
        <w:trPr>
          <w:trHeight w:val="57"/>
          <w:jc w:val="center"/>
        </w:trPr>
        <w:tc>
          <w:tcPr>
            <w:tcW w:w="2967" w:type="dxa"/>
          </w:tcPr>
          <w:p w14:paraId="2A589DFF" w14:textId="588B50EC" w:rsidR="00287F40" w:rsidRPr="00E55C4C" w:rsidRDefault="00287F40" w:rsidP="00A86B6A">
            <w:pPr>
              <w:spacing w:before="0"/>
              <w:rPr>
                <w:rFonts w:ascii="Century Gothic" w:eastAsia="Calibri" w:hAnsi="Century Gothic" w:cs="Arial"/>
                <w:sz w:val="22"/>
              </w:rPr>
            </w:pPr>
            <w:r w:rsidRPr="00E55C4C">
              <w:rPr>
                <w:rFonts w:ascii="Century Gothic" w:eastAsia="Calibri" w:hAnsi="Century Gothic" w:cs="Arial"/>
                <w:sz w:val="22"/>
              </w:rPr>
              <w:t xml:space="preserve">Date </w:t>
            </w:r>
            <w:r w:rsidR="00CA0CA7" w:rsidRPr="00E55C4C">
              <w:rPr>
                <w:rFonts w:ascii="Century Gothic" w:eastAsia="Calibri" w:hAnsi="Century Gothic" w:cs="Arial"/>
                <w:sz w:val="22"/>
              </w:rPr>
              <w:t>Valid From</w:t>
            </w:r>
          </w:p>
        </w:tc>
        <w:tc>
          <w:tcPr>
            <w:tcW w:w="7796" w:type="dxa"/>
          </w:tcPr>
          <w:p w14:paraId="2305B015" w14:textId="4EFB9BF4" w:rsidR="7AEB94DC" w:rsidRPr="00E55C4C" w:rsidRDefault="00036E68" w:rsidP="7AEB94DC">
            <w:pPr>
              <w:spacing w:before="0"/>
              <w:rPr>
                <w:rFonts w:ascii="Century Gothic" w:eastAsia="Arial" w:hAnsi="Century Gothic" w:cs="Arial"/>
                <w:color w:val="000000" w:themeColor="text1"/>
                <w:sz w:val="22"/>
              </w:rPr>
            </w:pPr>
            <w:r w:rsidRPr="00E55C4C">
              <w:rPr>
                <w:rFonts w:ascii="Century Gothic" w:eastAsia="Arial" w:hAnsi="Century Gothic" w:cs="Arial"/>
                <w:color w:val="000000" w:themeColor="text1"/>
                <w:sz w:val="22"/>
              </w:rPr>
              <w:t>1</w:t>
            </w:r>
            <w:r w:rsidRPr="00E55C4C">
              <w:rPr>
                <w:rFonts w:ascii="Century Gothic" w:eastAsia="Arial" w:hAnsi="Century Gothic" w:cs="Arial"/>
                <w:color w:val="000000" w:themeColor="text1"/>
                <w:sz w:val="22"/>
                <w:vertAlign w:val="superscript"/>
              </w:rPr>
              <w:t>st</w:t>
            </w:r>
            <w:r w:rsidRPr="00E55C4C">
              <w:rPr>
                <w:rFonts w:ascii="Century Gothic" w:eastAsia="Arial" w:hAnsi="Century Gothic" w:cs="Arial"/>
                <w:color w:val="000000" w:themeColor="text1"/>
                <w:sz w:val="22"/>
              </w:rPr>
              <w:t xml:space="preserve"> </w:t>
            </w:r>
            <w:r w:rsidR="00731EA8" w:rsidRPr="00E55C4C">
              <w:rPr>
                <w:rFonts w:ascii="Century Gothic" w:eastAsia="Arial" w:hAnsi="Century Gothic" w:cs="Arial"/>
                <w:color w:val="000000" w:themeColor="text1"/>
                <w:sz w:val="22"/>
              </w:rPr>
              <w:t>March</w:t>
            </w:r>
            <w:r w:rsidR="7AEB94DC" w:rsidRPr="00E55C4C">
              <w:rPr>
                <w:rFonts w:ascii="Century Gothic" w:eastAsia="Arial" w:hAnsi="Century Gothic" w:cs="Arial"/>
                <w:color w:val="000000" w:themeColor="text1"/>
                <w:sz w:val="22"/>
              </w:rPr>
              <w:t xml:space="preserve"> 202</w:t>
            </w:r>
            <w:r w:rsidR="00442EB1">
              <w:rPr>
                <w:rFonts w:ascii="Century Gothic" w:eastAsia="Arial" w:hAnsi="Century Gothic" w:cs="Arial"/>
                <w:color w:val="000000" w:themeColor="text1"/>
                <w:sz w:val="22"/>
              </w:rPr>
              <w:t>6</w:t>
            </w:r>
          </w:p>
        </w:tc>
      </w:tr>
      <w:tr w:rsidR="003F731A" w:rsidRPr="00E55C4C" w14:paraId="65835FC6" w14:textId="77777777" w:rsidTr="006C6062">
        <w:trPr>
          <w:trHeight w:val="57"/>
          <w:jc w:val="center"/>
        </w:trPr>
        <w:tc>
          <w:tcPr>
            <w:tcW w:w="2967" w:type="dxa"/>
          </w:tcPr>
          <w:p w14:paraId="76CD8071" w14:textId="259AAFF7" w:rsidR="003F731A" w:rsidRPr="00E55C4C" w:rsidRDefault="00442EB1" w:rsidP="00A86B6A">
            <w:pPr>
              <w:spacing w:before="0"/>
              <w:rPr>
                <w:rFonts w:ascii="Century Gothic" w:eastAsia="Calibri" w:hAnsi="Century Gothic" w:cs="Arial"/>
                <w:sz w:val="22"/>
              </w:rPr>
            </w:pPr>
            <w:r>
              <w:rPr>
                <w:rFonts w:ascii="Century Gothic" w:eastAsia="Calibri" w:hAnsi="Century Gothic" w:cs="Arial"/>
                <w:sz w:val="22"/>
              </w:rPr>
              <w:t>Review</w:t>
            </w:r>
            <w:r w:rsidRPr="00E55C4C">
              <w:rPr>
                <w:rFonts w:ascii="Century Gothic" w:eastAsia="Calibri" w:hAnsi="Century Gothic" w:cs="Arial"/>
                <w:sz w:val="22"/>
              </w:rPr>
              <w:t xml:space="preserve"> </w:t>
            </w:r>
            <w:r w:rsidR="003F731A" w:rsidRPr="00E55C4C">
              <w:rPr>
                <w:rFonts w:ascii="Century Gothic" w:eastAsia="Calibri" w:hAnsi="Century Gothic" w:cs="Arial"/>
                <w:sz w:val="22"/>
              </w:rPr>
              <w:t>Date</w:t>
            </w:r>
          </w:p>
        </w:tc>
        <w:tc>
          <w:tcPr>
            <w:tcW w:w="7796" w:type="dxa"/>
          </w:tcPr>
          <w:p w14:paraId="70FA8FD3" w14:textId="3A5D65C8" w:rsidR="7AEB94DC" w:rsidRPr="00E55C4C" w:rsidRDefault="00731EA8" w:rsidP="7AEB94DC">
            <w:pPr>
              <w:spacing w:before="0"/>
              <w:rPr>
                <w:rFonts w:ascii="Century Gothic" w:eastAsia="Arial" w:hAnsi="Century Gothic" w:cs="Arial"/>
                <w:color w:val="000000" w:themeColor="text1"/>
                <w:sz w:val="22"/>
              </w:rPr>
            </w:pPr>
            <w:r w:rsidRPr="00E55C4C">
              <w:rPr>
                <w:rFonts w:ascii="Century Gothic" w:eastAsia="Arial" w:hAnsi="Century Gothic" w:cs="Arial"/>
                <w:color w:val="000000" w:themeColor="text1"/>
                <w:sz w:val="22"/>
              </w:rPr>
              <w:t>28</w:t>
            </w:r>
            <w:r w:rsidR="00141AE4" w:rsidRPr="00141AE4">
              <w:rPr>
                <w:rFonts w:ascii="Century Gothic" w:eastAsia="Arial" w:hAnsi="Century Gothic" w:cs="Arial"/>
                <w:color w:val="000000" w:themeColor="text1"/>
                <w:sz w:val="22"/>
                <w:vertAlign w:val="superscript"/>
              </w:rPr>
              <w:t>th</w:t>
            </w:r>
            <w:r w:rsidR="00141AE4">
              <w:rPr>
                <w:rFonts w:ascii="Century Gothic" w:eastAsia="Arial" w:hAnsi="Century Gothic" w:cs="Arial"/>
                <w:color w:val="000000" w:themeColor="text1"/>
                <w:sz w:val="22"/>
              </w:rPr>
              <w:t xml:space="preserve"> </w:t>
            </w:r>
            <w:r w:rsidRPr="00E55C4C">
              <w:rPr>
                <w:rFonts w:ascii="Century Gothic" w:eastAsia="Arial" w:hAnsi="Century Gothic" w:cs="Arial"/>
                <w:color w:val="000000" w:themeColor="text1"/>
                <w:sz w:val="22"/>
              </w:rPr>
              <w:t>February</w:t>
            </w:r>
            <w:r w:rsidR="7AEB94DC" w:rsidRPr="00E55C4C">
              <w:rPr>
                <w:rFonts w:ascii="Century Gothic" w:eastAsia="Arial" w:hAnsi="Century Gothic" w:cs="Arial"/>
                <w:color w:val="000000" w:themeColor="text1"/>
                <w:sz w:val="22"/>
              </w:rPr>
              <w:t xml:space="preserve"> 202</w:t>
            </w:r>
            <w:r w:rsidR="00442EB1">
              <w:rPr>
                <w:rFonts w:ascii="Century Gothic" w:eastAsia="Arial" w:hAnsi="Century Gothic" w:cs="Arial"/>
                <w:color w:val="000000" w:themeColor="text1"/>
                <w:sz w:val="22"/>
              </w:rPr>
              <w:t>7</w:t>
            </w:r>
          </w:p>
        </w:tc>
      </w:tr>
      <w:tr w:rsidR="002B16C5" w:rsidRPr="00E55C4C" w14:paraId="794BED1B" w14:textId="77777777" w:rsidTr="006C6062">
        <w:trPr>
          <w:trHeight w:val="57"/>
          <w:jc w:val="center"/>
        </w:trPr>
        <w:tc>
          <w:tcPr>
            <w:tcW w:w="2967" w:type="dxa"/>
          </w:tcPr>
          <w:p w14:paraId="134C91F4" w14:textId="5A140C7A" w:rsidR="0025656F" w:rsidRPr="00E55C4C" w:rsidRDefault="0025656F" w:rsidP="52F7B7C5">
            <w:pPr>
              <w:spacing w:before="0"/>
              <w:rPr>
                <w:rFonts w:ascii="Century Gothic" w:eastAsia="Calibri" w:hAnsi="Century Gothic" w:cs="Arial"/>
                <w:sz w:val="22"/>
              </w:rPr>
            </w:pPr>
            <w:permStart w:id="999186082" w:edGrp="everyone" w:colFirst="0" w:colLast="0"/>
            <w:permStart w:id="1161526088" w:edGrp="everyone" w:colFirst="1" w:colLast="1"/>
            <w:r w:rsidRPr="00E55C4C">
              <w:rPr>
                <w:rFonts w:ascii="Century Gothic" w:eastAsia="Calibri" w:hAnsi="Century Gothic" w:cs="Arial"/>
                <w:sz w:val="22"/>
              </w:rPr>
              <w:t xml:space="preserve">On behalf of </w:t>
            </w:r>
            <w:r w:rsidR="004A65A3" w:rsidRPr="00E55C4C">
              <w:rPr>
                <w:rFonts w:ascii="Century Gothic" w:eastAsia="Calibri" w:hAnsi="Century Gothic" w:cs="Arial"/>
                <w:sz w:val="22"/>
              </w:rPr>
              <w:t>Contractor</w:t>
            </w:r>
            <w:r w:rsidR="00C52F0C" w:rsidRPr="00E55C4C">
              <w:rPr>
                <w:rFonts w:ascii="Century Gothic" w:eastAsia="Calibri" w:hAnsi="Century Gothic" w:cs="Arial"/>
                <w:sz w:val="22"/>
              </w:rPr>
              <w:t xml:space="preserve">:               </w:t>
            </w:r>
          </w:p>
          <w:p w14:paraId="14303597" w14:textId="134D308F" w:rsidR="002B16C5" w:rsidRPr="00E55C4C" w:rsidRDefault="00C52F0C" w:rsidP="00A86B6A">
            <w:pPr>
              <w:spacing w:before="0"/>
              <w:jc w:val="right"/>
              <w:rPr>
                <w:rFonts w:ascii="Century Gothic" w:eastAsia="Calibri" w:hAnsi="Century Gothic" w:cs="Arial"/>
                <w:sz w:val="22"/>
              </w:rPr>
            </w:pPr>
            <w:r w:rsidRPr="00E55C4C">
              <w:rPr>
                <w:rFonts w:ascii="Century Gothic" w:eastAsia="Calibri" w:hAnsi="Century Gothic" w:cs="Arial"/>
                <w:sz w:val="22"/>
              </w:rPr>
              <w:t>Organisation’s Name</w:t>
            </w:r>
          </w:p>
          <w:p w14:paraId="7C9AA988"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Name</w:t>
            </w:r>
          </w:p>
          <w:p w14:paraId="067205DE"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Signature</w:t>
            </w:r>
          </w:p>
          <w:p w14:paraId="20E232F7" w14:textId="76FEE46F" w:rsidR="00593E40" w:rsidRPr="00E55C4C" w:rsidRDefault="00593E40" w:rsidP="00A86B6A">
            <w:pPr>
              <w:spacing w:before="0"/>
              <w:jc w:val="right"/>
              <w:rPr>
                <w:rFonts w:ascii="Century Gothic" w:eastAsia="Calibri" w:hAnsi="Century Gothic" w:cs="Arial"/>
                <w:sz w:val="22"/>
              </w:rPr>
            </w:pPr>
            <w:r w:rsidRPr="00E55C4C">
              <w:rPr>
                <w:rFonts w:ascii="Century Gothic" w:eastAsia="Calibri" w:hAnsi="Century Gothic" w:cs="Arial"/>
                <w:sz w:val="22"/>
              </w:rPr>
              <w:t>Date</w:t>
            </w:r>
          </w:p>
          <w:p w14:paraId="7489886A" w14:textId="77777777" w:rsidR="004A65A3" w:rsidRPr="00E55C4C" w:rsidRDefault="004A65A3" w:rsidP="00A86B6A">
            <w:pPr>
              <w:spacing w:before="0"/>
              <w:jc w:val="right"/>
              <w:rPr>
                <w:rFonts w:ascii="Century Gothic" w:eastAsia="Calibri" w:hAnsi="Century Gothic" w:cs="Arial"/>
                <w:sz w:val="22"/>
              </w:rPr>
            </w:pPr>
            <w:r w:rsidRPr="00E55C4C">
              <w:rPr>
                <w:rFonts w:ascii="Century Gothic" w:eastAsia="Calibri" w:hAnsi="Century Gothic" w:cs="Arial"/>
                <w:sz w:val="22"/>
              </w:rPr>
              <w:t>Position</w:t>
            </w:r>
          </w:p>
          <w:p w14:paraId="38E0858F" w14:textId="77777777" w:rsidR="001712F5" w:rsidRPr="00E55C4C" w:rsidRDefault="004B37D3" w:rsidP="00A86B6A">
            <w:pPr>
              <w:spacing w:before="0"/>
              <w:jc w:val="right"/>
              <w:rPr>
                <w:rFonts w:ascii="Century Gothic" w:eastAsia="Calibri" w:hAnsi="Century Gothic" w:cs="Arial"/>
                <w:sz w:val="22"/>
              </w:rPr>
            </w:pPr>
            <w:r w:rsidRPr="00E55C4C">
              <w:rPr>
                <w:rFonts w:ascii="Century Gothic" w:eastAsia="Calibri" w:hAnsi="Century Gothic" w:cs="Arial"/>
                <w:sz w:val="22"/>
              </w:rPr>
              <w:t xml:space="preserve">Address </w:t>
            </w:r>
          </w:p>
          <w:p w14:paraId="511FE987" w14:textId="576CC560" w:rsidR="004B37D3" w:rsidRPr="00E55C4C" w:rsidRDefault="004B37D3" w:rsidP="00A86B6A">
            <w:pPr>
              <w:spacing w:before="0"/>
              <w:jc w:val="right"/>
              <w:rPr>
                <w:rFonts w:ascii="Century Gothic" w:eastAsia="Calibri" w:hAnsi="Century Gothic" w:cs="Arial"/>
                <w:i/>
                <w:sz w:val="22"/>
              </w:rPr>
            </w:pPr>
            <w:r w:rsidRPr="00E55C4C">
              <w:rPr>
                <w:rFonts w:ascii="Century Gothic" w:eastAsia="Calibri" w:hAnsi="Century Gothic" w:cs="Arial"/>
                <w:i/>
                <w:sz w:val="22"/>
              </w:rPr>
              <w:t xml:space="preserve">(if a multiple, </w:t>
            </w:r>
            <w:r w:rsidR="00A53910" w:rsidRPr="00E55C4C">
              <w:rPr>
                <w:rFonts w:ascii="Century Gothic" w:eastAsia="Calibri" w:hAnsi="Century Gothic" w:cs="Arial"/>
                <w:i/>
                <w:sz w:val="22"/>
              </w:rPr>
              <w:t xml:space="preserve">list all </w:t>
            </w:r>
            <w:r w:rsidR="006A6B5E" w:rsidRPr="00E55C4C">
              <w:rPr>
                <w:rFonts w:ascii="Century Gothic" w:eastAsia="Calibri" w:hAnsi="Century Gothic" w:cs="Arial"/>
                <w:i/>
                <w:sz w:val="22"/>
              </w:rPr>
              <w:t>relevant</w:t>
            </w:r>
            <w:r w:rsidR="001712F5" w:rsidRPr="00E55C4C">
              <w:rPr>
                <w:rFonts w:ascii="Century Gothic" w:eastAsia="Calibri" w:hAnsi="Century Gothic" w:cs="Arial"/>
                <w:i/>
                <w:sz w:val="22"/>
              </w:rPr>
              <w:t xml:space="preserve"> and </w:t>
            </w:r>
            <w:r w:rsidR="009A127B" w:rsidRPr="00E55C4C">
              <w:rPr>
                <w:rFonts w:ascii="Century Gothic" w:eastAsia="Calibri" w:hAnsi="Century Gothic" w:cs="Arial"/>
                <w:i/>
                <w:sz w:val="22"/>
              </w:rPr>
              <w:t xml:space="preserve">lead </w:t>
            </w:r>
            <w:r w:rsidR="001712F5" w:rsidRPr="00E55C4C">
              <w:rPr>
                <w:rFonts w:ascii="Century Gothic" w:eastAsia="Calibri" w:hAnsi="Century Gothic" w:cs="Arial"/>
                <w:i/>
                <w:sz w:val="22"/>
              </w:rPr>
              <w:t>address for notices to be sent to</w:t>
            </w:r>
            <w:r w:rsidRPr="00E55C4C">
              <w:rPr>
                <w:rFonts w:ascii="Century Gothic" w:eastAsia="Calibri" w:hAnsi="Century Gothic" w:cs="Arial"/>
                <w:i/>
                <w:sz w:val="22"/>
              </w:rPr>
              <w:t>)</w:t>
            </w:r>
          </w:p>
        </w:tc>
        <w:tc>
          <w:tcPr>
            <w:tcW w:w="7796" w:type="dxa"/>
          </w:tcPr>
          <w:p w14:paraId="504EC798" w14:textId="7B69F249" w:rsidR="00BE20A4" w:rsidRPr="00E55C4C" w:rsidRDefault="00BE20A4" w:rsidP="009C0F39">
            <w:pPr>
              <w:spacing w:before="0"/>
              <w:rPr>
                <w:rFonts w:ascii="Century Gothic" w:eastAsia="Calibri" w:hAnsi="Century Gothic" w:cs="Arial"/>
                <w:sz w:val="22"/>
              </w:rPr>
            </w:pPr>
          </w:p>
        </w:tc>
      </w:tr>
      <w:permEnd w:id="999186082"/>
      <w:permEnd w:id="1161526088"/>
      <w:tr w:rsidR="004A65A3" w:rsidRPr="00E55C4C" w14:paraId="4470AF01" w14:textId="77777777" w:rsidTr="006C6062">
        <w:trPr>
          <w:trHeight w:val="57"/>
          <w:jc w:val="center"/>
        </w:trPr>
        <w:tc>
          <w:tcPr>
            <w:tcW w:w="2967" w:type="dxa"/>
          </w:tcPr>
          <w:p w14:paraId="302D8BA4" w14:textId="43A9FFD8" w:rsidR="004A65A3" w:rsidRPr="00E55C4C" w:rsidRDefault="0025656F" w:rsidP="0E9F9B00">
            <w:pPr>
              <w:spacing w:before="0"/>
              <w:rPr>
                <w:rFonts w:ascii="Century Gothic" w:eastAsia="Calibri" w:hAnsi="Century Gothic" w:cs="Arial"/>
                <w:sz w:val="22"/>
              </w:rPr>
            </w:pPr>
            <w:r w:rsidRPr="00E55C4C">
              <w:rPr>
                <w:rFonts w:ascii="Century Gothic" w:eastAsia="Calibri" w:hAnsi="Century Gothic" w:cs="Arial"/>
                <w:sz w:val="22"/>
              </w:rPr>
              <w:t xml:space="preserve">On behalf of </w:t>
            </w:r>
            <w:r w:rsidR="006B4FBA" w:rsidRPr="00E55C4C">
              <w:rPr>
                <w:rFonts w:ascii="Century Gothic" w:eastAsia="Calibri" w:hAnsi="Century Gothic" w:cs="Arial"/>
                <w:sz w:val="22"/>
              </w:rPr>
              <w:t>Commissioner</w:t>
            </w:r>
            <w:r w:rsidRPr="00E55C4C">
              <w:rPr>
                <w:rFonts w:ascii="Century Gothic" w:eastAsia="Calibri" w:hAnsi="Century Gothic" w:cs="Arial"/>
                <w:sz w:val="22"/>
              </w:rPr>
              <w:t xml:space="preserve"> </w:t>
            </w:r>
          </w:p>
          <w:p w14:paraId="7C3B0760" w14:textId="0F82C739" w:rsidR="52F7B7C5" w:rsidRPr="00E55C4C" w:rsidRDefault="52F7B7C5" w:rsidP="52F7B7C5">
            <w:pPr>
              <w:spacing w:before="0"/>
              <w:jc w:val="right"/>
              <w:rPr>
                <w:rFonts w:ascii="Century Gothic" w:eastAsia="Calibri" w:hAnsi="Century Gothic" w:cs="Arial"/>
                <w:sz w:val="22"/>
              </w:rPr>
            </w:pPr>
          </w:p>
          <w:p w14:paraId="357BF13B" w14:textId="134F8096" w:rsidR="52F7B7C5" w:rsidRPr="00E55C4C" w:rsidRDefault="52F7B7C5" w:rsidP="52F7B7C5">
            <w:pPr>
              <w:spacing w:before="0"/>
              <w:jc w:val="right"/>
              <w:rPr>
                <w:rFonts w:ascii="Century Gothic" w:eastAsia="Calibri" w:hAnsi="Century Gothic" w:cs="Arial"/>
                <w:sz w:val="22"/>
              </w:rPr>
            </w:pPr>
          </w:p>
          <w:p w14:paraId="3BC8AED6" w14:textId="77777777" w:rsidR="009C0F39" w:rsidRPr="00E55C4C" w:rsidRDefault="009C0F39" w:rsidP="52F7B7C5">
            <w:pPr>
              <w:spacing w:before="0"/>
              <w:jc w:val="right"/>
              <w:rPr>
                <w:rFonts w:ascii="Century Gothic" w:eastAsia="Calibri" w:hAnsi="Century Gothic" w:cs="Arial"/>
                <w:sz w:val="22"/>
              </w:rPr>
            </w:pPr>
          </w:p>
          <w:p w14:paraId="6F3558EB" w14:textId="789111C4" w:rsidR="00C52F0C" w:rsidRPr="00E55C4C" w:rsidRDefault="4B312437" w:rsidP="52F7B7C5">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Service</w:t>
            </w:r>
          </w:p>
          <w:p w14:paraId="0F820C0A" w14:textId="7078DF50" w:rsidR="00C52F0C" w:rsidRPr="00E55C4C" w:rsidRDefault="00C52F0C" w:rsidP="52F7B7C5">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Name</w:t>
            </w:r>
          </w:p>
          <w:p w14:paraId="0B148FA3" w14:textId="77777777" w:rsidR="00C52F0C" w:rsidRPr="00E55C4C" w:rsidRDefault="00C52F0C"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Signature</w:t>
            </w:r>
          </w:p>
          <w:p w14:paraId="6FBD10CB" w14:textId="77777777" w:rsidR="003E2000" w:rsidRPr="00E55C4C" w:rsidRDefault="003E2000" w:rsidP="00A86B6A">
            <w:pPr>
              <w:spacing w:before="0"/>
              <w:jc w:val="right"/>
              <w:rPr>
                <w:rFonts w:ascii="Century Gothic" w:eastAsia="Calibri" w:hAnsi="Century Gothic" w:cs="Arial"/>
                <w:sz w:val="22"/>
                <w:highlight w:val="yellow"/>
              </w:rPr>
            </w:pPr>
          </w:p>
          <w:p w14:paraId="1E019E7A" w14:textId="433A355B" w:rsidR="00593E40" w:rsidRPr="00E55C4C" w:rsidRDefault="00593E40"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Date</w:t>
            </w:r>
          </w:p>
          <w:p w14:paraId="7CBB3F50" w14:textId="77777777" w:rsidR="004A65A3" w:rsidRPr="00E55C4C" w:rsidRDefault="00C52F0C" w:rsidP="00A86B6A">
            <w:pPr>
              <w:spacing w:before="0"/>
              <w:jc w:val="right"/>
              <w:rPr>
                <w:rFonts w:ascii="Century Gothic" w:eastAsia="Calibri" w:hAnsi="Century Gothic" w:cs="Arial"/>
                <w:sz w:val="22"/>
                <w:highlight w:val="yellow"/>
              </w:rPr>
            </w:pPr>
            <w:r w:rsidRPr="00E55C4C">
              <w:rPr>
                <w:rFonts w:ascii="Century Gothic" w:eastAsia="Calibri" w:hAnsi="Century Gothic" w:cs="Arial"/>
                <w:sz w:val="22"/>
                <w:highlight w:val="yellow"/>
              </w:rPr>
              <w:t>Position</w:t>
            </w:r>
          </w:p>
          <w:p w14:paraId="45F0E803" w14:textId="60F161E5" w:rsidR="001712F5" w:rsidRPr="00E55C4C" w:rsidRDefault="001712F5" w:rsidP="00A86B6A">
            <w:pPr>
              <w:spacing w:before="0"/>
              <w:jc w:val="right"/>
              <w:rPr>
                <w:rFonts w:ascii="Century Gothic" w:eastAsia="Calibri" w:hAnsi="Century Gothic" w:cs="Arial"/>
                <w:sz w:val="22"/>
              </w:rPr>
            </w:pPr>
            <w:r w:rsidRPr="00E55C4C">
              <w:rPr>
                <w:rFonts w:ascii="Century Gothic" w:eastAsia="Calibri" w:hAnsi="Century Gothic" w:cs="Arial"/>
                <w:sz w:val="22"/>
                <w:highlight w:val="yellow"/>
              </w:rPr>
              <w:t>Address</w:t>
            </w:r>
          </w:p>
        </w:tc>
        <w:tc>
          <w:tcPr>
            <w:tcW w:w="7796" w:type="dxa"/>
          </w:tcPr>
          <w:p w14:paraId="373413CC" w14:textId="56F985ED" w:rsidR="222574EE" w:rsidRPr="00E55C4C" w:rsidRDefault="00C15EE1" w:rsidP="52F7B7C5">
            <w:pPr>
              <w:spacing w:before="0"/>
              <w:rPr>
                <w:rFonts w:ascii="Century Gothic" w:eastAsia="Arial" w:hAnsi="Century Gothic" w:cs="Arial"/>
                <w:sz w:val="22"/>
              </w:rPr>
            </w:pPr>
            <w:r w:rsidRPr="00E55C4C">
              <w:rPr>
                <w:rFonts w:ascii="Century Gothic" w:eastAsia="Arial" w:hAnsi="Century Gothic" w:cs="Arial"/>
                <w:b/>
                <w:bCs/>
                <w:sz w:val="22"/>
              </w:rPr>
              <w:t>Waythrough</w:t>
            </w:r>
            <w:r w:rsidR="00141AE4">
              <w:rPr>
                <w:rFonts w:ascii="Century Gothic" w:eastAsia="Arial" w:hAnsi="Century Gothic" w:cs="Arial"/>
                <w:b/>
                <w:bCs/>
                <w:sz w:val="22"/>
              </w:rPr>
              <w:t>,</w:t>
            </w:r>
            <w:r w:rsidR="222574EE" w:rsidRPr="00E55C4C">
              <w:rPr>
                <w:rFonts w:ascii="Century Gothic" w:eastAsia="Arial" w:hAnsi="Century Gothic" w:cs="Arial"/>
                <w:b/>
                <w:bCs/>
                <w:sz w:val="22"/>
              </w:rPr>
              <w:t xml:space="preserve"> </w:t>
            </w:r>
            <w:r w:rsidR="222574EE" w:rsidRPr="00E55C4C">
              <w:rPr>
                <w:rFonts w:ascii="Century Gothic" w:eastAsia="Arial" w:hAnsi="Century Gothic" w:cs="Arial"/>
                <w:sz w:val="22"/>
              </w:rPr>
              <w:t xml:space="preserve">a </w:t>
            </w:r>
            <w:r w:rsidR="0044667D" w:rsidRPr="00E55C4C">
              <w:rPr>
                <w:rFonts w:ascii="Century Gothic" w:eastAsia="Arial" w:hAnsi="Century Gothic" w:cs="Arial"/>
                <w:sz w:val="22"/>
              </w:rPr>
              <w:t>UK</w:t>
            </w:r>
            <w:r w:rsidR="222574EE" w:rsidRPr="00E55C4C">
              <w:rPr>
                <w:rFonts w:ascii="Century Gothic" w:eastAsia="Arial" w:hAnsi="Century Gothic" w:cs="Arial"/>
                <w:sz w:val="22"/>
              </w:rPr>
              <w:t xml:space="preserve"> Registered Company No. 182 0492 and a Registered Charity No. 515 755, VAT No. 334 6763 43, whose Registered Office is </w:t>
            </w:r>
            <w:r w:rsidR="004222FF" w:rsidRPr="00E55C4C">
              <w:rPr>
                <w:rFonts w:ascii="Century Gothic" w:eastAsia="Arial" w:hAnsi="Century Gothic" w:cs="Arial"/>
                <w:sz w:val="22"/>
              </w:rPr>
              <w:t>Inspiration</w:t>
            </w:r>
            <w:r w:rsidR="222574EE" w:rsidRPr="00E55C4C">
              <w:rPr>
                <w:rFonts w:ascii="Century Gothic" w:eastAsia="Arial" w:hAnsi="Century Gothic" w:cs="Arial"/>
                <w:sz w:val="22"/>
              </w:rPr>
              <w:t xml:space="preserve"> House, </w:t>
            </w:r>
            <w:r w:rsidR="00873343" w:rsidRPr="00E55C4C">
              <w:rPr>
                <w:rFonts w:ascii="Century Gothic" w:eastAsia="Arial" w:hAnsi="Century Gothic" w:cs="Arial"/>
                <w:sz w:val="22"/>
              </w:rPr>
              <w:t>Unit 22</w:t>
            </w:r>
            <w:r w:rsidR="222574EE" w:rsidRPr="00E55C4C">
              <w:rPr>
                <w:rFonts w:ascii="Century Gothic" w:eastAsia="Arial" w:hAnsi="Century Gothic" w:cs="Arial"/>
                <w:sz w:val="22"/>
              </w:rPr>
              <w:t xml:space="preserve">, </w:t>
            </w:r>
            <w:proofErr w:type="spellStart"/>
            <w:r w:rsidR="00873343" w:rsidRPr="00E55C4C">
              <w:rPr>
                <w:rFonts w:ascii="Century Gothic" w:eastAsia="Arial" w:hAnsi="Century Gothic" w:cs="Arial"/>
                <w:sz w:val="22"/>
              </w:rPr>
              <w:t>Bowburn</w:t>
            </w:r>
            <w:proofErr w:type="spellEnd"/>
            <w:r w:rsidR="00873343" w:rsidRPr="00E55C4C">
              <w:rPr>
                <w:rFonts w:ascii="Century Gothic" w:eastAsia="Arial" w:hAnsi="Century Gothic" w:cs="Arial"/>
                <w:sz w:val="22"/>
              </w:rPr>
              <w:t xml:space="preserve"> North Industrial Estate</w:t>
            </w:r>
            <w:r w:rsidR="222574EE" w:rsidRPr="00E55C4C">
              <w:rPr>
                <w:rFonts w:ascii="Century Gothic" w:eastAsia="Arial" w:hAnsi="Century Gothic" w:cs="Arial"/>
                <w:sz w:val="22"/>
              </w:rPr>
              <w:t xml:space="preserve">, </w:t>
            </w:r>
            <w:r w:rsidR="00D42562" w:rsidRPr="00E55C4C">
              <w:rPr>
                <w:rFonts w:ascii="Century Gothic" w:eastAsia="Arial" w:hAnsi="Century Gothic" w:cs="Arial"/>
                <w:sz w:val="22"/>
              </w:rPr>
              <w:t xml:space="preserve">Durham </w:t>
            </w:r>
            <w:r w:rsidR="222574EE" w:rsidRPr="00E55C4C">
              <w:rPr>
                <w:rFonts w:ascii="Century Gothic" w:eastAsia="Arial" w:hAnsi="Century Gothic" w:cs="Arial"/>
                <w:sz w:val="22"/>
              </w:rPr>
              <w:t>D</w:t>
            </w:r>
            <w:r w:rsidR="00D42562" w:rsidRPr="00E55C4C">
              <w:rPr>
                <w:rFonts w:ascii="Century Gothic" w:eastAsia="Arial" w:hAnsi="Century Gothic" w:cs="Arial"/>
                <w:sz w:val="22"/>
              </w:rPr>
              <w:t>H6</w:t>
            </w:r>
            <w:r w:rsidR="222574EE" w:rsidRPr="00E55C4C">
              <w:rPr>
                <w:rFonts w:ascii="Century Gothic" w:eastAsia="Arial" w:hAnsi="Century Gothic" w:cs="Arial"/>
                <w:sz w:val="22"/>
              </w:rPr>
              <w:t xml:space="preserve"> </w:t>
            </w:r>
            <w:r w:rsidR="00D42562" w:rsidRPr="00E55C4C">
              <w:rPr>
                <w:rFonts w:ascii="Century Gothic" w:eastAsia="Arial" w:hAnsi="Century Gothic" w:cs="Arial"/>
                <w:sz w:val="22"/>
              </w:rPr>
              <w:t>5PF</w:t>
            </w:r>
          </w:p>
          <w:p w14:paraId="59396DBE" w14:textId="77777777" w:rsidR="005A7668" w:rsidRPr="001D2EBB" w:rsidRDefault="005A7668" w:rsidP="005A7668">
            <w:pPr>
              <w:rPr>
                <w:rFonts w:ascii="Century Gothic" w:hAnsi="Century Gothic"/>
              </w:rPr>
            </w:pPr>
            <w:r w:rsidRPr="001D2EBB">
              <w:rPr>
                <w:rFonts w:ascii="Century Gothic" w:eastAsia="Arial" w:hAnsi="Century Gothic" w:cs="Arial"/>
              </w:rPr>
              <w:t xml:space="preserve">Recovery Steps Barnsley, </w:t>
            </w:r>
            <w:r w:rsidRPr="001D2EBB">
              <w:rPr>
                <w:rFonts w:ascii="Century Gothic" w:eastAsia="Arial" w:hAnsi="Century Gothic" w:cs="Arial"/>
                <w:color w:val="202124"/>
              </w:rPr>
              <w:t>5-6 Burleigh Ct, Burleigh St, Barnsley S70 1XY</w:t>
            </w:r>
          </w:p>
          <w:p w14:paraId="68757142" w14:textId="769D0452" w:rsidR="00C502D4" w:rsidRPr="000501FD" w:rsidRDefault="00573778" w:rsidP="003E2000">
            <w:pPr>
              <w:spacing w:before="0"/>
              <w:rPr>
                <w:rFonts w:ascii="Ink Free" w:hAnsi="Ink Free" w:cs="Arial"/>
                <w:sz w:val="22"/>
              </w:rPr>
            </w:pPr>
            <w:r w:rsidRPr="00E55C4C">
              <w:rPr>
                <w:rFonts w:ascii="Century Gothic" w:hAnsi="Century Gothic" w:cs="Arial"/>
                <w:sz w:val="22"/>
              </w:rPr>
              <w:t xml:space="preserve"> </w:t>
            </w:r>
            <w:r w:rsidR="000501FD" w:rsidRPr="000501FD">
              <w:rPr>
                <w:rFonts w:ascii="Ink Free" w:hAnsi="Ink Free" w:cs="Arial"/>
                <w:sz w:val="22"/>
              </w:rPr>
              <w:t>C McEvoy</w:t>
            </w:r>
          </w:p>
          <w:p w14:paraId="5C2AAE0F" w14:textId="77777777" w:rsidR="000501FD" w:rsidRDefault="000501FD" w:rsidP="003E2000">
            <w:pPr>
              <w:spacing w:before="0"/>
              <w:rPr>
                <w:rFonts w:ascii="Century Gothic" w:hAnsi="Century Gothic" w:cs="Arial"/>
                <w:sz w:val="22"/>
              </w:rPr>
            </w:pPr>
          </w:p>
          <w:p w14:paraId="61209237" w14:textId="77777777" w:rsidR="000501FD" w:rsidRDefault="000501FD" w:rsidP="003E2000">
            <w:pPr>
              <w:spacing w:before="0"/>
              <w:rPr>
                <w:rFonts w:ascii="Century Gothic" w:hAnsi="Century Gothic" w:cs="Arial"/>
                <w:sz w:val="22"/>
              </w:rPr>
            </w:pPr>
            <w:r>
              <w:rPr>
                <w:rFonts w:ascii="Century Gothic" w:hAnsi="Century Gothic" w:cs="Arial"/>
                <w:sz w:val="22"/>
              </w:rPr>
              <w:t>13/04/2026</w:t>
            </w:r>
          </w:p>
          <w:p w14:paraId="042A4F9E" w14:textId="77777777" w:rsidR="000501FD" w:rsidRDefault="000501FD" w:rsidP="003E2000">
            <w:pPr>
              <w:spacing w:before="0"/>
              <w:rPr>
                <w:rFonts w:ascii="Century Gothic" w:hAnsi="Century Gothic" w:cs="Arial"/>
                <w:sz w:val="22"/>
              </w:rPr>
            </w:pPr>
            <w:r>
              <w:rPr>
                <w:rFonts w:ascii="Century Gothic" w:hAnsi="Century Gothic" w:cs="Arial"/>
                <w:sz w:val="22"/>
              </w:rPr>
              <w:t>Head of Service</w:t>
            </w:r>
          </w:p>
          <w:p w14:paraId="46018C50" w14:textId="5F0F9D3B" w:rsidR="000501FD" w:rsidRPr="00E55C4C" w:rsidRDefault="000501FD" w:rsidP="003E2000">
            <w:pPr>
              <w:spacing w:before="0"/>
              <w:rPr>
                <w:rFonts w:ascii="Century Gothic" w:hAnsi="Century Gothic" w:cs="Arial"/>
                <w:sz w:val="22"/>
              </w:rPr>
            </w:pPr>
            <w:r>
              <w:rPr>
                <w:rFonts w:ascii="Century Gothic" w:hAnsi="Century Gothic" w:cs="Arial"/>
                <w:sz w:val="22"/>
              </w:rPr>
              <w:t>5-6 Burleigh Court, Barnsley, S70 1XY</w:t>
            </w:r>
          </w:p>
        </w:tc>
      </w:tr>
    </w:tbl>
    <w:p w14:paraId="6E91E0FD" w14:textId="77777777" w:rsidR="00A01FAA" w:rsidRPr="00E55C4C" w:rsidRDefault="00A01FAA" w:rsidP="00FB12FC">
      <w:pPr>
        <w:spacing w:before="0"/>
        <w:rPr>
          <w:rFonts w:ascii="Century Gothic" w:hAnsi="Century Gothic" w:cs="Arial"/>
        </w:rPr>
      </w:pPr>
    </w:p>
    <w:p w14:paraId="6F90CC06" w14:textId="75F3C0AB" w:rsidR="0043270B" w:rsidRPr="00E55C4C" w:rsidRDefault="0043270B" w:rsidP="00FB12FC">
      <w:pPr>
        <w:pStyle w:val="Heading1"/>
        <w:spacing w:before="0"/>
        <w:rPr>
          <w:rFonts w:ascii="Century Gothic" w:hAnsi="Century Gothic" w:cs="Arial"/>
          <w:color w:val="FF5538"/>
          <w:sz w:val="24"/>
          <w:szCs w:val="24"/>
        </w:rPr>
      </w:pPr>
      <w:r w:rsidRPr="00E55C4C">
        <w:rPr>
          <w:rFonts w:ascii="Century Gothic" w:hAnsi="Century Gothic" w:cs="Arial"/>
          <w:color w:val="FF5538"/>
          <w:sz w:val="24"/>
          <w:szCs w:val="24"/>
        </w:rPr>
        <w:t>Introduction</w:t>
      </w:r>
    </w:p>
    <w:p w14:paraId="5F6CAF84" w14:textId="7BA69204" w:rsidR="00FB12FC" w:rsidRPr="00E55C4C" w:rsidRDefault="004E2CE7" w:rsidP="00FB12FC">
      <w:pPr>
        <w:tabs>
          <w:tab w:val="left" w:pos="7350"/>
        </w:tabs>
        <w:spacing w:before="0"/>
        <w:rPr>
          <w:rFonts w:ascii="Century Gothic" w:hAnsi="Century Gothic" w:cs="Arial"/>
          <w:sz w:val="22"/>
        </w:rPr>
      </w:pPr>
      <w:r w:rsidRPr="00E55C4C">
        <w:rPr>
          <w:rFonts w:ascii="Century Gothic" w:hAnsi="Century Gothic" w:cs="Arial"/>
          <w:snapToGrid w:val="0"/>
          <w:sz w:val="22"/>
        </w:rPr>
        <w:t>This document sets out a Service Specification for</w:t>
      </w:r>
      <w:r w:rsidR="00F52A42" w:rsidRPr="00E55C4C">
        <w:rPr>
          <w:rFonts w:ascii="Century Gothic" w:hAnsi="Century Gothic" w:cs="Arial"/>
          <w:snapToGrid w:val="0"/>
          <w:sz w:val="22"/>
        </w:rPr>
        <w:t xml:space="preserve"> the Community Pharmacy Emergency Nalox</w:t>
      </w:r>
      <w:r w:rsidR="00915AD2" w:rsidRPr="00E55C4C">
        <w:rPr>
          <w:rFonts w:ascii="Century Gothic" w:hAnsi="Century Gothic" w:cs="Arial"/>
          <w:snapToGrid w:val="0"/>
          <w:sz w:val="22"/>
        </w:rPr>
        <w:t>one Administration Programme (ENAP)</w:t>
      </w:r>
      <w:r w:rsidR="008418A6" w:rsidRPr="00E55C4C">
        <w:rPr>
          <w:rFonts w:ascii="Century Gothic" w:hAnsi="Century Gothic" w:cs="Arial"/>
          <w:snapToGrid w:val="0"/>
          <w:sz w:val="22"/>
        </w:rPr>
        <w:t xml:space="preserve"> and </w:t>
      </w:r>
      <w:proofErr w:type="gramStart"/>
      <w:r w:rsidR="008418A6" w:rsidRPr="00E55C4C">
        <w:rPr>
          <w:rFonts w:ascii="Century Gothic" w:hAnsi="Century Gothic" w:cs="Arial"/>
          <w:snapToGrid w:val="0"/>
          <w:sz w:val="22"/>
        </w:rPr>
        <w:t>Take Home</w:t>
      </w:r>
      <w:proofErr w:type="gramEnd"/>
      <w:r w:rsidR="008418A6" w:rsidRPr="00E55C4C">
        <w:rPr>
          <w:rFonts w:ascii="Century Gothic" w:hAnsi="Century Gothic" w:cs="Arial"/>
          <w:snapToGrid w:val="0"/>
          <w:sz w:val="22"/>
        </w:rPr>
        <w:t xml:space="preserve"> Naloxone (THN)</w:t>
      </w:r>
      <w:r w:rsidR="00FB12FC" w:rsidRPr="00E55C4C">
        <w:rPr>
          <w:rFonts w:ascii="Century Gothic" w:hAnsi="Century Gothic" w:cs="Arial"/>
          <w:snapToGrid w:val="0"/>
          <w:sz w:val="22"/>
        </w:rPr>
        <w:t xml:space="preserve">. </w:t>
      </w:r>
      <w:r w:rsidRPr="00E55C4C">
        <w:rPr>
          <w:rFonts w:ascii="Century Gothic" w:hAnsi="Century Gothic" w:cs="Arial"/>
          <w:snapToGrid w:val="0"/>
          <w:sz w:val="22"/>
        </w:rPr>
        <w:t xml:space="preserve">Pharmacies are well placed to be able to provide </w:t>
      </w:r>
      <w:r w:rsidR="00915AD2" w:rsidRPr="00E55C4C">
        <w:rPr>
          <w:rFonts w:ascii="Century Gothic" w:hAnsi="Century Gothic" w:cs="Arial"/>
          <w:snapToGrid w:val="0"/>
          <w:sz w:val="22"/>
        </w:rPr>
        <w:t>ENAP</w:t>
      </w:r>
      <w:r w:rsidR="008418A6" w:rsidRPr="00E55C4C">
        <w:rPr>
          <w:rFonts w:ascii="Century Gothic" w:hAnsi="Century Gothic" w:cs="Arial"/>
          <w:snapToGrid w:val="0"/>
          <w:sz w:val="22"/>
        </w:rPr>
        <w:t xml:space="preserve"> and THN</w:t>
      </w:r>
      <w:r w:rsidRPr="00E55C4C">
        <w:rPr>
          <w:rFonts w:ascii="Century Gothic" w:hAnsi="Century Gothic" w:cs="Arial"/>
          <w:snapToGrid w:val="0"/>
          <w:sz w:val="22"/>
        </w:rPr>
        <w:t xml:space="preserve"> </w:t>
      </w:r>
      <w:r w:rsidR="00FB12FC" w:rsidRPr="00E55C4C">
        <w:rPr>
          <w:rFonts w:ascii="Century Gothic" w:hAnsi="Century Gothic" w:cs="Arial"/>
          <w:sz w:val="22"/>
        </w:rPr>
        <w:t>and other relevant information on harm reduction</w:t>
      </w:r>
      <w:r w:rsidR="00FB12FC" w:rsidRPr="00E55C4C">
        <w:rPr>
          <w:rFonts w:ascii="Century Gothic" w:hAnsi="Century Gothic" w:cs="Arial"/>
          <w:snapToGrid w:val="0"/>
          <w:sz w:val="22"/>
        </w:rPr>
        <w:t xml:space="preserve"> </w:t>
      </w:r>
      <w:r w:rsidRPr="00E55C4C">
        <w:rPr>
          <w:rFonts w:ascii="Century Gothic" w:hAnsi="Century Gothic" w:cs="Arial"/>
          <w:snapToGrid w:val="0"/>
          <w:sz w:val="22"/>
        </w:rPr>
        <w:t>as part of the local harm reduction</w:t>
      </w:r>
      <w:r w:rsidR="00A640FE" w:rsidRPr="00E55C4C">
        <w:rPr>
          <w:rFonts w:ascii="Century Gothic" w:hAnsi="Century Gothic" w:cs="Arial"/>
          <w:snapToGrid w:val="0"/>
          <w:sz w:val="22"/>
        </w:rPr>
        <w:t xml:space="preserve"> </w:t>
      </w:r>
      <w:r w:rsidRPr="00E55C4C">
        <w:rPr>
          <w:rFonts w:ascii="Century Gothic" w:hAnsi="Century Gothic" w:cs="Arial"/>
          <w:snapToGrid w:val="0"/>
          <w:sz w:val="22"/>
        </w:rPr>
        <w:t>strategy</w:t>
      </w:r>
      <w:r w:rsidR="00FB12FC" w:rsidRPr="00E55C4C">
        <w:rPr>
          <w:rFonts w:ascii="Century Gothic" w:hAnsi="Century Gothic" w:cs="Arial"/>
          <w:snapToGrid w:val="0"/>
          <w:sz w:val="22"/>
        </w:rPr>
        <w:t xml:space="preserve"> to prevent drug related deaths</w:t>
      </w:r>
      <w:r w:rsidRPr="00E55C4C">
        <w:rPr>
          <w:rFonts w:ascii="Century Gothic" w:hAnsi="Century Gothic" w:cs="Arial"/>
          <w:snapToGrid w:val="0"/>
          <w:sz w:val="22"/>
        </w:rPr>
        <w:t>.</w:t>
      </w:r>
      <w:r w:rsidR="00FB12FC" w:rsidRPr="00E55C4C">
        <w:rPr>
          <w:rFonts w:ascii="Century Gothic" w:hAnsi="Century Gothic" w:cs="Arial"/>
          <w:sz w:val="22"/>
        </w:rPr>
        <w:t xml:space="preserve"> They can also signpost to other relevant substance misuse services and facilitate increases in the number of people who have access to </w:t>
      </w:r>
      <w:r w:rsidR="00915AD2" w:rsidRPr="00E55C4C">
        <w:rPr>
          <w:rFonts w:ascii="Century Gothic" w:hAnsi="Century Gothic" w:cs="Arial"/>
          <w:sz w:val="22"/>
        </w:rPr>
        <w:t>naloxone</w:t>
      </w:r>
      <w:r w:rsidR="00FB12FC" w:rsidRPr="00E55C4C">
        <w:rPr>
          <w:rFonts w:ascii="Century Gothic" w:hAnsi="Century Gothic" w:cs="Arial"/>
          <w:sz w:val="22"/>
        </w:rPr>
        <w:t xml:space="preserve"> by Pharmacies working both in partnership with </w:t>
      </w:r>
      <w:r w:rsidR="00986737" w:rsidRPr="00E55C4C">
        <w:rPr>
          <w:rFonts w:ascii="Century Gothic" w:hAnsi="Century Gothic" w:cs="Arial"/>
          <w:sz w:val="22"/>
        </w:rPr>
        <w:t>Waythrough</w:t>
      </w:r>
      <w:r w:rsidR="00FB12FC" w:rsidRPr="00E55C4C">
        <w:rPr>
          <w:rFonts w:ascii="Century Gothic" w:hAnsi="Century Gothic" w:cs="Arial"/>
          <w:sz w:val="22"/>
        </w:rPr>
        <w:t xml:space="preserve"> and as a standalone service where appropriate.</w:t>
      </w:r>
    </w:p>
    <w:p w14:paraId="2EEBC60C" w14:textId="6796407B" w:rsidR="004E2CE7" w:rsidRPr="00E55C4C" w:rsidRDefault="004E2CE7" w:rsidP="00FB12FC">
      <w:pPr>
        <w:tabs>
          <w:tab w:val="left" w:pos="7350"/>
        </w:tabs>
        <w:spacing w:before="0"/>
        <w:rPr>
          <w:rFonts w:ascii="Century Gothic" w:hAnsi="Century Gothic" w:cs="Arial"/>
          <w:snapToGrid w:val="0"/>
          <w:sz w:val="22"/>
        </w:rPr>
      </w:pPr>
    </w:p>
    <w:p w14:paraId="563889D5" w14:textId="41AF219C" w:rsidR="00D451AC" w:rsidRPr="00E55C4C" w:rsidRDefault="00FA2D37" w:rsidP="00D451AC">
      <w:pPr>
        <w:spacing w:before="0"/>
        <w:rPr>
          <w:rFonts w:ascii="Century Gothic" w:hAnsi="Century Gothic" w:cs="Arial"/>
          <w:sz w:val="22"/>
        </w:rPr>
      </w:pPr>
      <w:r w:rsidRPr="00E55C4C">
        <w:rPr>
          <w:rFonts w:ascii="Century Gothic" w:hAnsi="Century Gothic" w:cs="Arial"/>
          <w:sz w:val="22"/>
        </w:rPr>
        <w:t>Any person can administer naloxone</w:t>
      </w:r>
      <w:r w:rsidR="009F64DB" w:rsidRPr="00E55C4C">
        <w:rPr>
          <w:rFonts w:ascii="Century Gothic" w:hAnsi="Century Gothic" w:cs="Arial"/>
          <w:sz w:val="22"/>
        </w:rPr>
        <w:t xml:space="preserve"> </w:t>
      </w:r>
      <w:r w:rsidRPr="00E55C4C">
        <w:rPr>
          <w:rFonts w:ascii="Century Gothic" w:hAnsi="Century Gothic" w:cs="Arial"/>
          <w:sz w:val="22"/>
        </w:rPr>
        <w:t xml:space="preserve">for the purpose of saving a life. This SLA outlines the </w:t>
      </w:r>
      <w:r w:rsidR="00F70E3B" w:rsidRPr="00E55C4C">
        <w:rPr>
          <w:rFonts w:ascii="Century Gothic" w:hAnsi="Century Gothic" w:cs="Arial"/>
          <w:sz w:val="22"/>
        </w:rPr>
        <w:t xml:space="preserve">training to support this and the </w:t>
      </w:r>
      <w:r w:rsidR="009B4E72" w:rsidRPr="00E55C4C">
        <w:rPr>
          <w:rFonts w:ascii="Century Gothic" w:hAnsi="Century Gothic" w:cs="Arial"/>
          <w:sz w:val="22"/>
        </w:rPr>
        <w:t>monitoring to support governance and evidence-based provision from a community pharmacy setting.</w:t>
      </w:r>
      <w:r w:rsidR="00FB6077" w:rsidRPr="00E55C4C">
        <w:rPr>
          <w:rFonts w:ascii="Century Gothic" w:hAnsi="Century Gothic" w:cs="Arial"/>
          <w:sz w:val="22"/>
        </w:rPr>
        <w:t xml:space="preserve"> People employed or engaged in the provision of drug treatment services</w:t>
      </w:r>
      <w:r w:rsidR="000B7404">
        <w:rPr>
          <w:rFonts w:ascii="Century Gothic" w:hAnsi="Century Gothic" w:cs="Arial"/>
          <w:sz w:val="22"/>
        </w:rPr>
        <w:t>,</w:t>
      </w:r>
      <w:r w:rsidR="00FB6077" w:rsidRPr="00E55C4C">
        <w:rPr>
          <w:rFonts w:ascii="Century Gothic" w:hAnsi="Century Gothic" w:cs="Arial"/>
          <w:sz w:val="22"/>
        </w:rPr>
        <w:t xml:space="preserve"> including community pharmacy staff</w:t>
      </w:r>
      <w:r w:rsidR="000B7404">
        <w:rPr>
          <w:rFonts w:ascii="Century Gothic" w:hAnsi="Century Gothic" w:cs="Arial"/>
          <w:sz w:val="22"/>
        </w:rPr>
        <w:t>,</w:t>
      </w:r>
      <w:r w:rsidR="00FB6077" w:rsidRPr="00E55C4C">
        <w:rPr>
          <w:rFonts w:ascii="Century Gothic" w:hAnsi="Century Gothic" w:cs="Arial"/>
          <w:sz w:val="22"/>
        </w:rPr>
        <w:t xml:space="preserve"> can supply THN that has been obtained by their pharmacy to others for the purpose of being available to save life in an emergency. Authorisation to supply using this service only allows supplies to be made as specified; it does not cover supplies issued on prescription or by Patient Group Direction (PGD)</w:t>
      </w:r>
      <w:r w:rsidR="00C95E71" w:rsidRPr="00E55C4C">
        <w:rPr>
          <w:rFonts w:ascii="Century Gothic" w:hAnsi="Century Gothic" w:cs="Arial"/>
          <w:sz w:val="22"/>
        </w:rPr>
        <w:t xml:space="preserve">. Existing exemptions in the Human Medicines Regulations 2012 (HMRs) allow drug treatment services to supply THN for future use to </w:t>
      </w:r>
      <w:r w:rsidR="00C95E71" w:rsidRPr="00E55C4C">
        <w:rPr>
          <w:rFonts w:ascii="Century Gothic" w:hAnsi="Century Gothic" w:cs="Arial"/>
          <w:sz w:val="22"/>
        </w:rPr>
        <w:lastRenderedPageBreak/>
        <w:t>those who need it, without a prescription. This exemption has been expanded (Dec 24) to include all registered pharmacy professionals.</w:t>
      </w:r>
    </w:p>
    <w:p w14:paraId="7D1BEA91" w14:textId="77777777" w:rsidR="00D451AC" w:rsidRPr="00E55C4C" w:rsidRDefault="00D451AC" w:rsidP="00D451AC">
      <w:pPr>
        <w:pStyle w:val="LIstParagraph3"/>
        <w:numPr>
          <w:ilvl w:val="0"/>
          <w:numId w:val="0"/>
        </w:numPr>
        <w:spacing w:before="0" w:after="0"/>
        <w:jc w:val="both"/>
        <w:rPr>
          <w:rFonts w:ascii="Century Gothic" w:hAnsi="Century Gothic" w:cs="Arial"/>
          <w:snapToGrid w:val="0"/>
          <w:sz w:val="22"/>
        </w:rPr>
      </w:pPr>
    </w:p>
    <w:p w14:paraId="789535BF" w14:textId="7AE12B0C" w:rsidR="001B318C" w:rsidRPr="00E55C4C" w:rsidRDefault="004E2CE7" w:rsidP="00315FD2">
      <w:pPr>
        <w:pStyle w:val="LIstParagraph3"/>
        <w:numPr>
          <w:ilvl w:val="0"/>
          <w:numId w:val="0"/>
        </w:numPr>
        <w:spacing w:before="0" w:after="0"/>
        <w:jc w:val="both"/>
        <w:rPr>
          <w:rFonts w:ascii="Century Gothic" w:hAnsi="Century Gothic" w:cs="Arial"/>
          <w:snapToGrid w:val="0"/>
          <w:sz w:val="22"/>
        </w:rPr>
      </w:pPr>
      <w:r w:rsidRPr="00E55C4C">
        <w:rPr>
          <w:rFonts w:ascii="Century Gothic" w:hAnsi="Century Gothic" w:cs="Arial"/>
          <w:snapToGrid w:val="0"/>
          <w:sz w:val="22"/>
        </w:rPr>
        <w:t>Th</w:t>
      </w:r>
      <w:r w:rsidR="00DA66CC" w:rsidRPr="00E55C4C">
        <w:rPr>
          <w:rFonts w:ascii="Century Gothic" w:hAnsi="Century Gothic" w:cs="Arial"/>
          <w:snapToGrid w:val="0"/>
          <w:sz w:val="22"/>
        </w:rPr>
        <w:t>is</w:t>
      </w:r>
      <w:r w:rsidRPr="00E55C4C">
        <w:rPr>
          <w:rFonts w:ascii="Century Gothic" w:hAnsi="Century Gothic" w:cs="Arial"/>
          <w:snapToGrid w:val="0"/>
          <w:sz w:val="22"/>
        </w:rPr>
        <w:t xml:space="preserve"> </w:t>
      </w:r>
      <w:r w:rsidR="009B4E72" w:rsidRPr="00E55C4C">
        <w:rPr>
          <w:rFonts w:ascii="Century Gothic" w:hAnsi="Century Gothic" w:cs="Arial"/>
          <w:snapToGrid w:val="0"/>
          <w:sz w:val="22"/>
        </w:rPr>
        <w:t xml:space="preserve">ENAP </w:t>
      </w:r>
      <w:r w:rsidR="0087395E" w:rsidRPr="00E55C4C">
        <w:rPr>
          <w:rFonts w:ascii="Century Gothic" w:hAnsi="Century Gothic" w:cs="Arial"/>
          <w:snapToGrid w:val="0"/>
          <w:sz w:val="22"/>
        </w:rPr>
        <w:t>will use intranasal spray (sprayed into the nose</w:t>
      </w:r>
      <w:r w:rsidR="008418A6" w:rsidRPr="00E55C4C">
        <w:rPr>
          <w:rFonts w:ascii="Century Gothic" w:hAnsi="Century Gothic" w:cs="Arial"/>
          <w:snapToGrid w:val="0"/>
          <w:sz w:val="22"/>
        </w:rPr>
        <w:t xml:space="preserve">; </w:t>
      </w:r>
      <w:proofErr w:type="spellStart"/>
      <w:r w:rsidR="008418A6" w:rsidRPr="00E55C4C">
        <w:rPr>
          <w:rFonts w:ascii="Century Gothic" w:hAnsi="Century Gothic" w:cs="Arial"/>
          <w:snapToGrid w:val="0"/>
          <w:sz w:val="22"/>
        </w:rPr>
        <w:t>Nyxoid</w:t>
      </w:r>
      <w:proofErr w:type="spellEnd"/>
      <w:r w:rsidR="008418A6" w:rsidRPr="00E55C4C">
        <w:rPr>
          <w:rFonts w:ascii="Century Gothic" w:hAnsi="Century Gothic" w:cs="Arial"/>
          <w:snapToGrid w:val="0"/>
          <w:sz w:val="22"/>
        </w:rPr>
        <w:t xml:space="preserve">® or </w:t>
      </w:r>
      <w:r w:rsidR="00C37941" w:rsidRPr="00E55C4C">
        <w:rPr>
          <w:rFonts w:ascii="Century Gothic" w:hAnsi="Century Gothic" w:cs="Arial"/>
          <w:snapToGrid w:val="0"/>
          <w:sz w:val="22"/>
        </w:rPr>
        <w:t xml:space="preserve">Naloxone 1.26mg in case of </w:t>
      </w:r>
      <w:proofErr w:type="spellStart"/>
      <w:r w:rsidR="00990185" w:rsidRPr="00E55C4C">
        <w:rPr>
          <w:rFonts w:ascii="Century Gothic" w:hAnsi="Century Gothic" w:cs="Arial"/>
          <w:snapToGrid w:val="0"/>
          <w:sz w:val="22"/>
        </w:rPr>
        <w:t>Nyxoid</w:t>
      </w:r>
      <w:proofErr w:type="spellEnd"/>
      <w:r w:rsidR="00990185" w:rsidRPr="00E55C4C">
        <w:rPr>
          <w:rFonts w:ascii="Century Gothic" w:hAnsi="Century Gothic" w:cs="Arial"/>
          <w:snapToGrid w:val="0"/>
          <w:sz w:val="22"/>
        </w:rPr>
        <w:t>® stock issues</w:t>
      </w:r>
      <w:r w:rsidR="0087395E" w:rsidRPr="00E55C4C">
        <w:rPr>
          <w:rFonts w:ascii="Century Gothic" w:hAnsi="Century Gothic" w:cs="Arial"/>
          <w:snapToGrid w:val="0"/>
          <w:sz w:val="22"/>
        </w:rPr>
        <w:t>) nasal spray</w:t>
      </w:r>
      <w:r w:rsidR="00315FD2" w:rsidRPr="00E55C4C">
        <w:rPr>
          <w:rFonts w:ascii="Century Gothic" w:hAnsi="Century Gothic" w:cs="Arial"/>
          <w:snapToGrid w:val="0"/>
          <w:sz w:val="22"/>
        </w:rPr>
        <w:t>.</w:t>
      </w:r>
    </w:p>
    <w:p w14:paraId="6DF8BFC0" w14:textId="77777777" w:rsidR="003667AE" w:rsidRPr="00E55C4C" w:rsidRDefault="003667AE" w:rsidP="00315FD2">
      <w:pPr>
        <w:pStyle w:val="LIstParagraph3"/>
        <w:numPr>
          <w:ilvl w:val="0"/>
          <w:numId w:val="0"/>
        </w:numPr>
        <w:spacing w:before="0" w:after="0"/>
        <w:jc w:val="both"/>
        <w:rPr>
          <w:rFonts w:ascii="Century Gothic" w:hAnsi="Century Gothic" w:cs="Arial"/>
          <w:snapToGrid w:val="0"/>
          <w:sz w:val="22"/>
        </w:rPr>
      </w:pPr>
    </w:p>
    <w:p w14:paraId="49801835" w14:textId="77777777" w:rsidR="003667AE" w:rsidRPr="00E55C4C" w:rsidRDefault="003667AE" w:rsidP="003667AE">
      <w:pPr>
        <w:pStyle w:val="LIstParagraph3"/>
        <w:numPr>
          <w:ilvl w:val="0"/>
          <w:numId w:val="0"/>
        </w:numPr>
        <w:spacing w:before="0" w:after="0"/>
        <w:jc w:val="both"/>
        <w:rPr>
          <w:rFonts w:ascii="Century Gothic" w:hAnsi="Century Gothic" w:cs="Arial"/>
          <w:snapToGrid w:val="0"/>
          <w:sz w:val="22"/>
        </w:rPr>
      </w:pPr>
      <w:r w:rsidRPr="00E55C4C">
        <w:rPr>
          <w:rFonts w:ascii="Century Gothic" w:hAnsi="Century Gothic" w:cs="Arial"/>
          <w:snapToGrid w:val="0"/>
          <w:sz w:val="22"/>
        </w:rPr>
        <w:t xml:space="preserve">This THN service relates to the supply to people aged 18 years or over for someone </w:t>
      </w:r>
      <w:r w:rsidRPr="00E55C4C">
        <w:rPr>
          <w:rFonts w:ascii="Century Gothic" w:hAnsi="Century Gothic" w:cs="Arial"/>
          <w:sz w:val="22"/>
        </w:rPr>
        <w:t xml:space="preserve">who is using or has previously used opioids (both prescribed and non-prescribed) and is at potential risk of overdose, their </w:t>
      </w:r>
      <w:proofErr w:type="spellStart"/>
      <w:r w:rsidRPr="00E55C4C">
        <w:rPr>
          <w:rFonts w:ascii="Century Gothic" w:hAnsi="Century Gothic" w:cs="Arial"/>
          <w:sz w:val="22"/>
        </w:rPr>
        <w:t>carers</w:t>
      </w:r>
      <w:proofErr w:type="spellEnd"/>
      <w:r w:rsidRPr="00E55C4C">
        <w:rPr>
          <w:rFonts w:ascii="Century Gothic" w:hAnsi="Century Gothic" w:cs="Arial"/>
          <w:sz w:val="22"/>
        </w:rPr>
        <w:t xml:space="preserve">, family members or friends liable to be on hand in case of overdose. It covers the use </w:t>
      </w:r>
      <w:r w:rsidRPr="00E55C4C">
        <w:rPr>
          <w:rFonts w:ascii="Century Gothic" w:hAnsi="Century Gothic" w:cs="Arial"/>
          <w:snapToGrid w:val="0"/>
          <w:sz w:val="22"/>
        </w:rPr>
        <w:t>of:</w:t>
      </w:r>
    </w:p>
    <w:p w14:paraId="522D8976" w14:textId="77777777" w:rsidR="003667AE" w:rsidRPr="00E55C4C" w:rsidRDefault="003667AE" w:rsidP="003667AE">
      <w:pPr>
        <w:pStyle w:val="LIstParagraph3"/>
        <w:numPr>
          <w:ilvl w:val="0"/>
          <w:numId w:val="11"/>
        </w:numPr>
        <w:spacing w:before="0" w:after="0"/>
        <w:ind w:left="426" w:hanging="142"/>
        <w:jc w:val="both"/>
        <w:rPr>
          <w:rFonts w:ascii="Century Gothic" w:hAnsi="Century Gothic"/>
          <w:color w:val="0000FF"/>
          <w:sz w:val="22"/>
        </w:rPr>
      </w:pPr>
      <w:hyperlink r:id="rId11">
        <w:proofErr w:type="spellStart"/>
        <w:r w:rsidRPr="00E55C4C">
          <w:rPr>
            <w:rStyle w:val="Hyperlink"/>
            <w:rFonts w:ascii="Century Gothic" w:hAnsi="Century Gothic" w:cs="Arial"/>
            <w:sz w:val="22"/>
          </w:rPr>
          <w:t>Prenoxad</w:t>
        </w:r>
        <w:proofErr w:type="spellEnd"/>
        <w:r w:rsidRPr="00E55C4C">
          <w:rPr>
            <w:rStyle w:val="Hyperlink"/>
            <w:rFonts w:ascii="Century Gothic" w:hAnsi="Century Gothic" w:cs="Arial"/>
            <w:sz w:val="22"/>
          </w:rPr>
          <w:t>®</w:t>
        </w:r>
      </w:hyperlink>
      <w:r w:rsidRPr="00E55C4C">
        <w:rPr>
          <w:rFonts w:ascii="Century Gothic" w:hAnsi="Century Gothic"/>
          <w:sz w:val="22"/>
        </w:rPr>
        <w:t xml:space="preserve"> - intramuscular (given by injection into the upper arm/leg muscle) naloxone solution for injection. The concentration is 1mg/1ml. Each pack contains 1x2ml i.e. 2mg in each prefilled syringe and 2 x 23G 1.25” needles.</w:t>
      </w:r>
    </w:p>
    <w:p w14:paraId="37FF5666" w14:textId="77777777" w:rsidR="003667AE" w:rsidRPr="00E55C4C" w:rsidRDefault="003667AE" w:rsidP="003667AE">
      <w:pPr>
        <w:pStyle w:val="LIstParagraph3"/>
        <w:numPr>
          <w:ilvl w:val="0"/>
          <w:numId w:val="11"/>
        </w:numPr>
        <w:spacing w:before="0" w:after="0"/>
        <w:ind w:left="426" w:hanging="142"/>
        <w:jc w:val="both"/>
        <w:rPr>
          <w:rFonts w:ascii="Century Gothic" w:hAnsi="Century Gothic"/>
          <w:color w:val="0000FF"/>
          <w:sz w:val="22"/>
        </w:rPr>
      </w:pPr>
      <w:hyperlink r:id="rId12">
        <w:proofErr w:type="spellStart"/>
        <w:r w:rsidRPr="00E55C4C">
          <w:rPr>
            <w:rStyle w:val="Hyperlink"/>
            <w:rFonts w:ascii="Century Gothic" w:eastAsia="Arial" w:hAnsi="Century Gothic" w:cs="Arial"/>
            <w:sz w:val="22"/>
          </w:rPr>
          <w:t>Nyxoid</w:t>
        </w:r>
        <w:proofErr w:type="spellEnd"/>
        <w:r w:rsidRPr="00E55C4C">
          <w:rPr>
            <w:rStyle w:val="Hyperlink"/>
            <w:rFonts w:ascii="Century Gothic" w:eastAsia="Arial" w:hAnsi="Century Gothic" w:cs="Arial"/>
            <w:sz w:val="22"/>
          </w:rPr>
          <w:t>®</w:t>
        </w:r>
      </w:hyperlink>
      <w:r w:rsidRPr="00E55C4C">
        <w:rPr>
          <w:rFonts w:ascii="Century Gothic" w:hAnsi="Century Gothic"/>
          <w:sz w:val="22"/>
        </w:rPr>
        <w:t xml:space="preserve"> - intranasal spray (sprayed into the nose) nasal spray. Each single dose container contains 1.8mg. Each pack contains two nasal sprays.</w:t>
      </w:r>
    </w:p>
    <w:p w14:paraId="09C5EFCD" w14:textId="182EC4EF" w:rsidR="003E7A79" w:rsidRPr="00E55C4C" w:rsidRDefault="007B771B" w:rsidP="003667AE">
      <w:pPr>
        <w:pStyle w:val="LIstParagraph3"/>
        <w:numPr>
          <w:ilvl w:val="0"/>
          <w:numId w:val="11"/>
        </w:numPr>
        <w:spacing w:before="0" w:after="0"/>
        <w:ind w:left="426" w:hanging="142"/>
        <w:jc w:val="both"/>
        <w:rPr>
          <w:rFonts w:ascii="Century Gothic" w:hAnsi="Century Gothic"/>
          <w:color w:val="0000FF"/>
          <w:sz w:val="22"/>
        </w:rPr>
      </w:pPr>
      <w:hyperlink r:id="rId13" w:history="1">
        <w:r w:rsidRPr="00E55C4C">
          <w:rPr>
            <w:rStyle w:val="Hyperlink"/>
            <w:rFonts w:ascii="Century Gothic" w:hAnsi="Century Gothic"/>
            <w:sz w:val="22"/>
          </w:rPr>
          <w:t>Naloxone 1.26mg</w:t>
        </w:r>
      </w:hyperlink>
      <w:r w:rsidRPr="00E55C4C">
        <w:rPr>
          <w:rFonts w:ascii="Century Gothic" w:hAnsi="Century Gothic"/>
          <w:color w:val="0000FF"/>
          <w:sz w:val="22"/>
        </w:rPr>
        <w:t xml:space="preserve"> </w:t>
      </w:r>
      <w:r w:rsidR="00475DAE" w:rsidRPr="00E55C4C">
        <w:rPr>
          <w:rFonts w:ascii="Century Gothic" w:hAnsi="Century Gothic"/>
          <w:color w:val="000000" w:themeColor="text1"/>
          <w:sz w:val="22"/>
        </w:rPr>
        <w:t xml:space="preserve">nasal spray </w:t>
      </w:r>
      <w:r w:rsidR="00475DAE" w:rsidRPr="00E55C4C">
        <w:rPr>
          <w:rFonts w:ascii="Century Gothic" w:hAnsi="Century Gothic"/>
          <w:sz w:val="22"/>
        </w:rPr>
        <w:t>(sprayed into the nose). This</w:t>
      </w:r>
      <w:r w:rsidR="00891F23" w:rsidRPr="00E55C4C">
        <w:rPr>
          <w:rFonts w:ascii="Century Gothic" w:hAnsi="Century Gothic"/>
          <w:sz w:val="22"/>
        </w:rPr>
        <w:t xml:space="preserve"> product</w:t>
      </w:r>
      <w:r w:rsidR="00475DAE" w:rsidRPr="00E55C4C">
        <w:rPr>
          <w:rFonts w:ascii="Century Gothic" w:hAnsi="Century Gothic"/>
          <w:sz w:val="22"/>
        </w:rPr>
        <w:t xml:space="preserve"> to be only </w:t>
      </w:r>
      <w:r w:rsidR="00891F23" w:rsidRPr="00E55C4C">
        <w:rPr>
          <w:rFonts w:ascii="Century Gothic" w:hAnsi="Century Gothic"/>
          <w:sz w:val="22"/>
        </w:rPr>
        <w:t xml:space="preserve">used for ENAP or/and distributed for THN service if </w:t>
      </w:r>
      <w:proofErr w:type="spellStart"/>
      <w:r w:rsidR="00891F23" w:rsidRPr="00E55C4C">
        <w:rPr>
          <w:rFonts w:ascii="Century Gothic" w:hAnsi="Century Gothic"/>
          <w:sz w:val="22"/>
        </w:rPr>
        <w:t>Nyxoid</w:t>
      </w:r>
      <w:proofErr w:type="spellEnd"/>
      <w:r w:rsidR="00891F23" w:rsidRPr="00E55C4C">
        <w:rPr>
          <w:rFonts w:ascii="Century Gothic" w:hAnsi="Century Gothic" w:cs="Arial"/>
          <w:sz w:val="22"/>
        </w:rPr>
        <w:t>®</w:t>
      </w:r>
      <w:r w:rsidR="00891F23" w:rsidRPr="00E55C4C">
        <w:rPr>
          <w:rFonts w:ascii="Century Gothic" w:hAnsi="Century Gothic"/>
          <w:sz w:val="22"/>
        </w:rPr>
        <w:t xml:space="preserve"> stock availability issues are confirmed by the supplier. </w:t>
      </w:r>
    </w:p>
    <w:p w14:paraId="61886B0F" w14:textId="77777777" w:rsidR="003667AE" w:rsidRPr="00E55C4C" w:rsidRDefault="003667AE" w:rsidP="00315FD2">
      <w:pPr>
        <w:pStyle w:val="LIstParagraph3"/>
        <w:numPr>
          <w:ilvl w:val="0"/>
          <w:numId w:val="0"/>
        </w:numPr>
        <w:spacing w:before="0" w:after="0"/>
        <w:jc w:val="both"/>
        <w:rPr>
          <w:rFonts w:ascii="Century Gothic" w:hAnsi="Century Gothic"/>
          <w:color w:val="0000FF"/>
          <w:sz w:val="22"/>
        </w:rPr>
      </w:pPr>
    </w:p>
    <w:p w14:paraId="5E340B68" w14:textId="0DA677FD" w:rsidR="00A651D9" w:rsidRPr="00E55C4C" w:rsidRDefault="00A651D9" w:rsidP="001B318C">
      <w:pPr>
        <w:spacing w:before="0"/>
        <w:rPr>
          <w:rFonts w:ascii="Century Gothic" w:hAnsi="Century Gothic"/>
        </w:rPr>
      </w:pPr>
    </w:p>
    <w:p w14:paraId="0F3BE503" w14:textId="77777777" w:rsidR="001B318C" w:rsidRPr="00E55C4C" w:rsidRDefault="001B318C"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Governance</w:t>
      </w:r>
    </w:p>
    <w:p w14:paraId="07CD6B0D" w14:textId="5AF4B542" w:rsidR="001B318C"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This document </w:t>
      </w:r>
      <w:r w:rsidRPr="00E55C4C">
        <w:rPr>
          <w:rFonts w:ascii="Century Gothic" w:hAnsi="Century Gothic" w:cs="Arial"/>
          <w:bCs/>
          <w:snapToGrid w:val="0"/>
          <w:sz w:val="22"/>
        </w:rPr>
        <w:t xml:space="preserve">supersedes all previous working agreements. </w:t>
      </w:r>
    </w:p>
    <w:p w14:paraId="0EE29A76" w14:textId="2C167556" w:rsidR="008A252F" w:rsidRPr="00E55C4C"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The Pharmacy must adhere to relevant legislative requirements</w:t>
      </w:r>
      <w:r w:rsidR="007238CF" w:rsidRPr="00E55C4C">
        <w:rPr>
          <w:rStyle w:val="normaltextrun"/>
          <w:rFonts w:ascii="Century Gothic" w:hAnsi="Century Gothic" w:cs="Arial"/>
          <w:color w:val="000000"/>
          <w:sz w:val="22"/>
          <w:shd w:val="clear" w:color="auto" w:fill="FFFFFF"/>
        </w:rPr>
        <w:t xml:space="preserve"> including the </w:t>
      </w:r>
      <w:r w:rsidR="00C95E71" w:rsidRPr="00E55C4C">
        <w:rPr>
          <w:rStyle w:val="normaltextrun"/>
          <w:rFonts w:ascii="Century Gothic" w:hAnsi="Century Gothic" w:cs="Arial"/>
          <w:color w:val="000000"/>
          <w:sz w:val="22"/>
          <w:shd w:val="clear" w:color="auto" w:fill="FFFFFF"/>
        </w:rPr>
        <w:t>HMRs</w:t>
      </w:r>
      <w:r w:rsidRPr="00E55C4C">
        <w:rPr>
          <w:rStyle w:val="normaltextrun"/>
          <w:rFonts w:ascii="Century Gothic" w:hAnsi="Century Gothic" w:cs="Arial"/>
          <w:color w:val="000000"/>
          <w:sz w:val="22"/>
          <w:shd w:val="clear" w:color="auto" w:fill="FFFFFF"/>
        </w:rPr>
        <w:t>, best practice guidance and the standards set, for example by the General Pharmaceutical Council (</w:t>
      </w:r>
      <w:r w:rsidRPr="00E55C4C">
        <w:rPr>
          <w:rStyle w:val="spellingerror"/>
          <w:rFonts w:ascii="Century Gothic" w:hAnsi="Century Gothic" w:cs="Arial"/>
          <w:color w:val="000000"/>
          <w:sz w:val="22"/>
          <w:shd w:val="clear" w:color="auto" w:fill="FFFFFF"/>
        </w:rPr>
        <w:t>GPhC</w:t>
      </w:r>
      <w:r w:rsidRPr="00E55C4C">
        <w:rPr>
          <w:rStyle w:val="normaltextrun"/>
          <w:rFonts w:ascii="Century Gothic" w:hAnsi="Century Gothic" w:cs="Arial"/>
          <w:color w:val="000000"/>
          <w:sz w:val="22"/>
          <w:shd w:val="clear" w:color="auto" w:fill="FFFFFF"/>
        </w:rPr>
        <w:t xml:space="preserve">) and Royal Pharmaceutical Society (RPS), as well as Public Health England (PHE) </w:t>
      </w:r>
      <w:hyperlink r:id="rId14" w:history="1">
        <w:r w:rsidRPr="00E55C4C">
          <w:rPr>
            <w:rStyle w:val="Hyperlink"/>
            <w:rFonts w:ascii="Century Gothic" w:hAnsi="Century Gothic" w:cs="Arial"/>
            <w:sz w:val="22"/>
            <w:shd w:val="clear" w:color="auto" w:fill="FFFFFF"/>
          </w:rPr>
          <w:t>Widening the Availability of Naloxone Guidance</w:t>
        </w:r>
      </w:hyperlink>
      <w:r w:rsidR="00D102E5" w:rsidRPr="00E55C4C">
        <w:rPr>
          <w:rStyle w:val="normaltextrun"/>
          <w:rFonts w:ascii="Century Gothic" w:hAnsi="Century Gothic" w:cs="Arial"/>
          <w:color w:val="000000"/>
          <w:sz w:val="22"/>
          <w:shd w:val="clear" w:color="auto" w:fill="FFFFFF"/>
        </w:rPr>
        <w:t xml:space="preserve">, </w:t>
      </w:r>
      <w:r w:rsidRPr="00E55C4C">
        <w:rPr>
          <w:rFonts w:ascii="Century Gothic" w:hAnsi="Century Gothic" w:cs="Arial"/>
          <w:snapToGrid w:val="0"/>
          <w:sz w:val="22"/>
        </w:rPr>
        <w:t xml:space="preserve"> </w:t>
      </w:r>
      <w:r w:rsidRPr="00E55C4C">
        <w:rPr>
          <w:rStyle w:val="normaltextrun"/>
          <w:rFonts w:ascii="Century Gothic" w:hAnsi="Century Gothic" w:cs="Arial"/>
          <w:color w:val="000000"/>
          <w:sz w:val="22"/>
          <w:shd w:val="clear" w:color="auto" w:fill="FFFFFF"/>
        </w:rPr>
        <w:t>‘</w:t>
      </w:r>
      <w:hyperlink r:id="rId15" w:tgtFrame="_blank" w:history="1">
        <w:r w:rsidRPr="00E55C4C">
          <w:rPr>
            <w:rStyle w:val="normaltextrun"/>
            <w:rFonts w:ascii="Century Gothic" w:hAnsi="Century Gothic" w:cs="Arial"/>
            <w:color w:val="0000FF"/>
            <w:sz w:val="22"/>
            <w:u w:val="single"/>
            <w:shd w:val="clear" w:color="auto" w:fill="FFFFFF"/>
          </w:rPr>
          <w:t>Drug Misuse and Dependence UK Guidelines on Clinical Management (2017)</w:t>
        </w:r>
      </w:hyperlink>
      <w:r w:rsidRPr="00E55C4C">
        <w:rPr>
          <w:rStyle w:val="normaltextrun"/>
          <w:rFonts w:ascii="Century Gothic" w:hAnsi="Century Gothic" w:cs="Arial"/>
          <w:color w:val="000000"/>
          <w:sz w:val="22"/>
          <w:shd w:val="clear" w:color="auto" w:fill="FFFFFF"/>
        </w:rPr>
        <w:t>’ </w:t>
      </w:r>
      <w:r w:rsidR="00D102E5" w:rsidRPr="00E55C4C">
        <w:rPr>
          <w:rStyle w:val="normaltextrun"/>
          <w:rFonts w:ascii="Century Gothic" w:hAnsi="Century Gothic" w:cs="Arial"/>
          <w:color w:val="000000"/>
          <w:sz w:val="22"/>
          <w:shd w:val="clear" w:color="auto" w:fill="FFFFFF"/>
        </w:rPr>
        <w:t xml:space="preserve"> and </w:t>
      </w:r>
      <w:hyperlink r:id="rId16" w:history="1">
        <w:r w:rsidR="00D102E5" w:rsidRPr="00E55C4C">
          <w:rPr>
            <w:rStyle w:val="Hyperlink"/>
            <w:rFonts w:ascii="Century Gothic" w:hAnsi="Century Gothic" w:cs="Arial"/>
            <w:sz w:val="22"/>
            <w:shd w:val="clear" w:color="auto" w:fill="FFFFFF"/>
          </w:rPr>
          <w:t>Community pharmacy: delivering substance misuse services</w:t>
        </w:r>
      </w:hyperlink>
      <w:r w:rsidR="00D102E5" w:rsidRPr="00E55C4C">
        <w:rPr>
          <w:rStyle w:val="normaltextrun"/>
          <w:rFonts w:ascii="Century Gothic" w:hAnsi="Century Gothic" w:cs="Arial"/>
          <w:color w:val="000000"/>
          <w:sz w:val="22"/>
          <w:shd w:val="clear" w:color="auto" w:fill="FFFFFF"/>
        </w:rPr>
        <w:t xml:space="preserve"> </w:t>
      </w:r>
      <w:r w:rsidRPr="00E55C4C">
        <w:rPr>
          <w:rStyle w:val="normaltextrun"/>
          <w:rFonts w:ascii="Century Gothic" w:hAnsi="Century Gothic" w:cs="Arial"/>
          <w:color w:val="000000"/>
          <w:sz w:val="22"/>
          <w:shd w:val="clear" w:color="auto" w:fill="FFFFFF"/>
        </w:rPr>
        <w:t>published by the Department of Health</w:t>
      </w:r>
      <w:r w:rsidR="0094548E">
        <w:rPr>
          <w:rStyle w:val="normaltextrun"/>
          <w:rFonts w:ascii="Century Gothic" w:hAnsi="Century Gothic" w:cs="Arial"/>
          <w:color w:val="000000"/>
          <w:sz w:val="22"/>
          <w:shd w:val="clear" w:color="auto" w:fill="FFFFFF"/>
        </w:rPr>
        <w:t xml:space="preserve"> (2024)</w:t>
      </w:r>
    </w:p>
    <w:p w14:paraId="599AB0CC" w14:textId="6FEF4654" w:rsidR="008A252F" w:rsidRPr="00E55C4C" w:rsidRDefault="00986737"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Waythrough</w:t>
      </w:r>
      <w:r w:rsidR="001B318C" w:rsidRPr="00E55C4C">
        <w:rPr>
          <w:rFonts w:ascii="Century Gothic" w:hAnsi="Century Gothic" w:cs="Arial"/>
          <w:snapToGrid w:val="0"/>
          <w:sz w:val="22"/>
        </w:rPr>
        <w:t xml:space="preserve"> and the Pharmacy will fully adhere to their respective obligations set out in this document.</w:t>
      </w:r>
    </w:p>
    <w:p w14:paraId="2221ED43" w14:textId="77777777" w:rsidR="008A252F" w:rsidRPr="00E55C4C"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 xml:space="preserve">Both Parties agree to </w:t>
      </w:r>
      <w:r w:rsidRPr="00E55C4C">
        <w:rPr>
          <w:rFonts w:ascii="Century Gothic" w:hAnsi="Century Gothic" w:cs="Arial"/>
          <w:sz w:val="22"/>
        </w:rPr>
        <w:t>share relevant information regarding substance misuse data to allow safe and high-quality Service</w:t>
      </w:r>
      <w:r w:rsidRPr="00E55C4C">
        <w:rPr>
          <w:rStyle w:val="normaltextrun"/>
          <w:rFonts w:ascii="Century Gothic" w:hAnsi="Century Gothic" w:cs="Arial"/>
          <w:color w:val="000000"/>
          <w:sz w:val="22"/>
          <w:shd w:val="clear" w:color="auto" w:fill="FFFFFF"/>
        </w:rPr>
        <w:t xml:space="preserve"> provision/improvements and in line with the local </w:t>
      </w:r>
      <w:proofErr w:type="spellStart"/>
      <w:r w:rsidRPr="00E55C4C">
        <w:rPr>
          <w:rStyle w:val="normaltextrun"/>
          <w:rFonts w:ascii="Century Gothic" w:hAnsi="Century Gothic" w:cs="Arial"/>
          <w:color w:val="000000"/>
          <w:sz w:val="22"/>
          <w:shd w:val="clear" w:color="auto" w:fill="FFFFFF"/>
        </w:rPr>
        <w:t>PharmOutcomes</w:t>
      </w:r>
      <w:proofErr w:type="spellEnd"/>
      <w:r w:rsidRPr="00E55C4C">
        <w:rPr>
          <w:rStyle w:val="normaltextrun"/>
          <w:rFonts w:ascii="Century Gothic" w:hAnsi="Century Gothic" w:cs="Arial"/>
          <w:color w:val="000000"/>
          <w:sz w:val="22"/>
          <w:shd w:val="clear" w:color="auto" w:fill="FFFFFF"/>
        </w:rPr>
        <w:t xml:space="preserve"> licence agreement which detail data controller/processing/ sharing details.</w:t>
      </w:r>
    </w:p>
    <w:p w14:paraId="4C1D0CC7" w14:textId="77777777"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Each party shall comply with its respective obligations pursuant to applicable data protection laws and/or regulations in relation to the processing of personal and/or special category data under this agreement, including but not limited to the General Data Protection Regulations and the Data Protection Act 2018.</w:t>
      </w:r>
    </w:p>
    <w:p w14:paraId="6DBDB9E4" w14:textId="71EB0EA9"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The Pharmacy will demonstrate relevant agreed Quality Standards to </w:t>
      </w:r>
      <w:r w:rsidR="00986737" w:rsidRPr="00E55C4C">
        <w:rPr>
          <w:rFonts w:ascii="Century Gothic" w:hAnsi="Century Gothic" w:cs="Arial"/>
          <w:sz w:val="22"/>
        </w:rPr>
        <w:t>Waythrough</w:t>
      </w:r>
      <w:r w:rsidRPr="00E55C4C">
        <w:rPr>
          <w:rFonts w:ascii="Century Gothic" w:hAnsi="Century Gothic" w:cs="Arial"/>
          <w:sz w:val="22"/>
        </w:rPr>
        <w:t xml:space="preserve"> or will work towards achieving such a standard within an agreed timescale. </w:t>
      </w:r>
      <w:r w:rsidRPr="00E55C4C">
        <w:rPr>
          <w:rFonts w:ascii="Century Gothic" w:hAnsi="Century Gothic" w:cs="Arial"/>
          <w:snapToGrid w:val="0"/>
          <w:sz w:val="22"/>
        </w:rPr>
        <w:t xml:space="preserve">If the Pharmacy remains in default following the expiry of the period specified, </w:t>
      </w:r>
      <w:r w:rsidR="00986737" w:rsidRPr="00E55C4C">
        <w:rPr>
          <w:rFonts w:ascii="Century Gothic" w:hAnsi="Century Gothic" w:cs="Arial"/>
          <w:sz w:val="22"/>
        </w:rPr>
        <w:t>Waythrough</w:t>
      </w:r>
      <w:r w:rsidRPr="00E55C4C">
        <w:rPr>
          <w:rFonts w:ascii="Century Gothic" w:hAnsi="Century Gothic" w:cs="Arial"/>
          <w:sz w:val="22"/>
        </w:rPr>
        <w:t xml:space="preserve"> </w:t>
      </w:r>
      <w:r w:rsidRPr="00E55C4C">
        <w:rPr>
          <w:rFonts w:ascii="Century Gothic" w:hAnsi="Century Gothic" w:cs="Arial"/>
          <w:snapToGrid w:val="0"/>
          <w:sz w:val="22"/>
        </w:rPr>
        <w:t>may proceed to terminate the Agreement.</w:t>
      </w:r>
    </w:p>
    <w:p w14:paraId="5C6A328C" w14:textId="1D0403A7" w:rsidR="008A252F" w:rsidRPr="00E55C4C" w:rsidRDefault="001B318C" w:rsidP="19E6FD0C">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The Pharmacy will take part in reasonably requested audit activity including the facilitation of Quality Assurance visits</w:t>
      </w:r>
      <w:r w:rsidR="00577F3F" w:rsidRPr="00E55C4C">
        <w:rPr>
          <w:rFonts w:ascii="Century Gothic" w:hAnsi="Century Gothic" w:cs="Arial"/>
          <w:sz w:val="22"/>
        </w:rPr>
        <w:t xml:space="preserve"> as agreed between all parties</w:t>
      </w:r>
      <w:r w:rsidRPr="00E55C4C">
        <w:rPr>
          <w:rFonts w:ascii="Century Gothic" w:hAnsi="Century Gothic" w:cs="Arial"/>
          <w:sz w:val="22"/>
        </w:rPr>
        <w:t>.</w:t>
      </w:r>
    </w:p>
    <w:p w14:paraId="1CE56227" w14:textId="3E88BF1A"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z w:val="22"/>
        </w:rPr>
        <w:t xml:space="preserve">Should the Pharmacy not work in line with the agreed standards, </w:t>
      </w:r>
      <w:r w:rsidR="00986737" w:rsidRPr="00E55C4C">
        <w:rPr>
          <w:rFonts w:ascii="Century Gothic" w:hAnsi="Century Gothic" w:cs="Arial"/>
          <w:sz w:val="22"/>
        </w:rPr>
        <w:t>Waythrough</w:t>
      </w:r>
      <w:r w:rsidRPr="00E55C4C">
        <w:rPr>
          <w:rFonts w:ascii="Century Gothic" w:hAnsi="Century Gothic" w:cs="Arial"/>
          <w:sz w:val="22"/>
        </w:rPr>
        <w:t xml:space="preserve"> shall immediately investigate and may review payment</w:t>
      </w:r>
      <w:r w:rsidR="008A252F" w:rsidRPr="00E55C4C">
        <w:rPr>
          <w:rFonts w:ascii="Century Gothic" w:hAnsi="Century Gothic" w:cs="Arial"/>
          <w:sz w:val="22"/>
        </w:rPr>
        <w:t xml:space="preserve">, </w:t>
      </w:r>
      <w:r w:rsidRPr="00E55C4C">
        <w:rPr>
          <w:rFonts w:ascii="Century Gothic" w:hAnsi="Century Gothic" w:cs="Arial"/>
          <w:sz w:val="22"/>
        </w:rPr>
        <w:t xml:space="preserve">and in the case of suspension or variation, report to the Pharmacy every 30 days until such investigation is complete. When the investigation is complete, </w:t>
      </w:r>
      <w:r w:rsidR="00986737" w:rsidRPr="00E55C4C">
        <w:rPr>
          <w:rFonts w:ascii="Century Gothic" w:hAnsi="Century Gothic" w:cs="Arial"/>
          <w:sz w:val="22"/>
        </w:rPr>
        <w:t>Waythrough</w:t>
      </w:r>
      <w:r w:rsidRPr="00E55C4C">
        <w:rPr>
          <w:rFonts w:ascii="Century Gothic" w:hAnsi="Century Gothic" w:cs="Arial"/>
          <w:sz w:val="22"/>
        </w:rPr>
        <w:t xml:space="preserve"> shall immediately notify the Pharmacy of the outcome.</w:t>
      </w:r>
    </w:p>
    <w:p w14:paraId="07E888A7" w14:textId="77777777"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Style w:val="normaltextrun"/>
          <w:rFonts w:ascii="Century Gothic" w:hAnsi="Century Gothic" w:cs="Arial"/>
          <w:sz w:val="22"/>
        </w:rPr>
        <w:t>Any incidents or concerns must be reported immediately and appropriately actioned in accordance with respective organisations incident reporting processes. </w:t>
      </w:r>
      <w:r w:rsidRPr="00E55C4C">
        <w:rPr>
          <w:rFonts w:ascii="Century Gothic" w:hAnsi="Century Gothic" w:cs="Arial"/>
          <w:sz w:val="22"/>
        </w:rPr>
        <w:t xml:space="preserve"> </w:t>
      </w:r>
    </w:p>
    <w:p w14:paraId="30835AB6" w14:textId="7B610244"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 xml:space="preserve">Issues pertaining to concerns, incidents, indemnity, performance, disputes, confidentiality, and data handling, which include safeguarding issues, must be promptly reported to </w:t>
      </w:r>
      <w:r w:rsidR="00986737" w:rsidRPr="00E55C4C">
        <w:rPr>
          <w:rFonts w:ascii="Century Gothic" w:hAnsi="Century Gothic" w:cs="Arial"/>
          <w:snapToGrid w:val="0"/>
          <w:sz w:val="22"/>
        </w:rPr>
        <w:t>Waythrough</w:t>
      </w:r>
      <w:r w:rsidR="008C253A" w:rsidRPr="00E55C4C">
        <w:rPr>
          <w:rFonts w:ascii="Century Gothic" w:hAnsi="Century Gothic" w:cs="Arial"/>
          <w:snapToGrid w:val="0"/>
          <w:sz w:val="22"/>
        </w:rPr>
        <w:t>, usually</w:t>
      </w:r>
      <w:r w:rsidRPr="00E55C4C">
        <w:rPr>
          <w:rFonts w:ascii="Century Gothic" w:hAnsi="Century Gothic" w:cs="Arial"/>
          <w:snapToGrid w:val="0"/>
          <w:sz w:val="22"/>
        </w:rPr>
        <w:t xml:space="preserve"> within one working day</w:t>
      </w:r>
      <w:r w:rsidR="008C253A" w:rsidRPr="00E55C4C">
        <w:rPr>
          <w:rFonts w:ascii="Century Gothic" w:hAnsi="Century Gothic" w:cs="Arial"/>
          <w:snapToGrid w:val="0"/>
          <w:sz w:val="22"/>
        </w:rPr>
        <w:t xml:space="preserve"> as </w:t>
      </w:r>
      <w:r w:rsidR="00D35FDB" w:rsidRPr="00E55C4C">
        <w:rPr>
          <w:rFonts w:ascii="Century Gothic" w:hAnsi="Century Gothic" w:cs="Arial"/>
          <w:snapToGrid w:val="0"/>
          <w:sz w:val="22"/>
        </w:rPr>
        <w:t>appropriate as soon as</w:t>
      </w:r>
      <w:r w:rsidRPr="00E55C4C">
        <w:rPr>
          <w:rFonts w:ascii="Century Gothic" w:hAnsi="Century Gothic" w:cs="Arial"/>
          <w:snapToGrid w:val="0"/>
          <w:sz w:val="22"/>
        </w:rPr>
        <w:t xml:space="preserve"> the Pharmacy become aware.</w:t>
      </w:r>
    </w:p>
    <w:p w14:paraId="627C8AAF" w14:textId="5F9735A5"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Style w:val="normaltextrun"/>
          <w:rFonts w:ascii="Century Gothic" w:hAnsi="Century Gothic" w:cs="Arial"/>
          <w:color w:val="000000"/>
          <w:sz w:val="22"/>
          <w:bdr w:val="none" w:sz="0" w:space="0" w:color="auto" w:frame="1"/>
        </w:rPr>
        <w:t xml:space="preserve">The Pharmacy must demonstrate they have appropriate insurance in place to be able to offer the Service and must ensure that </w:t>
      </w:r>
      <w:r w:rsidR="00986737" w:rsidRPr="00E55C4C">
        <w:rPr>
          <w:rStyle w:val="normaltextrun"/>
          <w:rFonts w:ascii="Century Gothic" w:hAnsi="Century Gothic" w:cs="Arial"/>
          <w:color w:val="000000"/>
          <w:sz w:val="22"/>
          <w:bdr w:val="none" w:sz="0" w:space="0" w:color="auto" w:frame="1"/>
        </w:rPr>
        <w:t>Waythrough</w:t>
      </w:r>
      <w:r w:rsidRPr="00E55C4C">
        <w:rPr>
          <w:rStyle w:val="normaltextrun"/>
          <w:rFonts w:ascii="Century Gothic" w:hAnsi="Century Gothic" w:cs="Arial"/>
          <w:color w:val="000000"/>
          <w:sz w:val="22"/>
          <w:bdr w:val="none" w:sz="0" w:space="0" w:color="auto" w:frame="1"/>
        </w:rPr>
        <w:t xml:space="preserve"> is indemnified against any claim arising from the provision of the Service, and in the case of negligence of the Pharmacy: this liability may not be transferred.</w:t>
      </w:r>
      <w:r w:rsidRPr="00E55C4C">
        <w:rPr>
          <w:rFonts w:ascii="Century Gothic" w:hAnsi="Century Gothic" w:cs="Arial"/>
          <w:snapToGrid w:val="0"/>
          <w:sz w:val="22"/>
        </w:rPr>
        <w:t xml:space="preserve"> </w:t>
      </w:r>
    </w:p>
    <w:p w14:paraId="19A36B13" w14:textId="77777777" w:rsidR="008A252F" w:rsidRPr="00E55C4C" w:rsidRDefault="001B318C" w:rsidP="002D046D">
      <w:pPr>
        <w:pStyle w:val="ListParagraph"/>
        <w:numPr>
          <w:ilvl w:val="1"/>
          <w:numId w:val="8"/>
        </w:numPr>
        <w:spacing w:before="0"/>
        <w:ind w:left="567" w:hanging="567"/>
        <w:rPr>
          <w:rFonts w:ascii="Century Gothic" w:hAnsi="Century Gothic" w:cs="Arial"/>
          <w:snapToGrid w:val="0"/>
          <w:sz w:val="22"/>
        </w:rPr>
      </w:pPr>
      <w:r w:rsidRPr="00E55C4C">
        <w:rPr>
          <w:rFonts w:ascii="Century Gothic" w:hAnsi="Century Gothic" w:cs="Arial"/>
          <w:snapToGrid w:val="0"/>
          <w:sz w:val="22"/>
        </w:rPr>
        <w:t>The health and safety of Pharmacy staff (and any associated indemnity issues), remain the responsibility of the Pharmacy.</w:t>
      </w:r>
    </w:p>
    <w:p w14:paraId="1340129B" w14:textId="6EF9A603" w:rsidR="008A252F" w:rsidRPr="00EC6302" w:rsidRDefault="001B318C" w:rsidP="002D046D">
      <w:pPr>
        <w:pStyle w:val="ListParagraph"/>
        <w:numPr>
          <w:ilvl w:val="1"/>
          <w:numId w:val="8"/>
        </w:numPr>
        <w:spacing w:before="0"/>
        <w:ind w:left="567" w:hanging="567"/>
        <w:rPr>
          <w:rStyle w:val="normaltextrun"/>
          <w:rFonts w:ascii="Century Gothic" w:hAnsi="Century Gothic" w:cs="Arial"/>
          <w:snapToGrid w:val="0"/>
          <w:sz w:val="22"/>
        </w:rPr>
      </w:pPr>
      <w:r w:rsidRPr="00E55C4C">
        <w:rPr>
          <w:rStyle w:val="normaltextrun"/>
          <w:rFonts w:ascii="Century Gothic" w:hAnsi="Century Gothic" w:cs="Arial"/>
          <w:color w:val="000000"/>
          <w:sz w:val="22"/>
          <w:shd w:val="clear" w:color="auto" w:fill="FFFFFF"/>
        </w:rPr>
        <w:t>Any dispute, which cannot be resolved by negotiation, shall be referred to a nominated arbitrator for example the Local Authority Commissioner for Substance misuse Services or Chair of the Local Law Society.</w:t>
      </w:r>
    </w:p>
    <w:p w14:paraId="4FBF4FC2" w14:textId="77777777" w:rsidR="00EC6302" w:rsidRPr="00EC6302" w:rsidRDefault="00EC6302" w:rsidP="00EC6302">
      <w:pPr>
        <w:spacing w:after="240"/>
        <w:ind w:left="360"/>
        <w:rPr>
          <w:rFonts w:ascii="Century Gothic" w:hAnsi="Century Gothic" w:cs="Arial"/>
          <w:b/>
          <w:bCs/>
          <w:snapToGrid w:val="0"/>
          <w:sz w:val="22"/>
        </w:rPr>
      </w:pPr>
      <w:r w:rsidRPr="00EC6302">
        <w:rPr>
          <w:rFonts w:ascii="Century Gothic" w:hAnsi="Century Gothic" w:cs="Arial"/>
          <w:b/>
          <w:bCs/>
          <w:snapToGrid w:val="0"/>
          <w:sz w:val="22"/>
        </w:rPr>
        <w:t>Clinical Governance Oversight</w:t>
      </w:r>
    </w:p>
    <w:p w14:paraId="7963A023" w14:textId="77777777" w:rsidR="00EC6302" w:rsidRPr="00EC6302" w:rsidRDefault="00EC6302" w:rsidP="00EC6302">
      <w:pPr>
        <w:pStyle w:val="ListParagraph"/>
        <w:numPr>
          <w:ilvl w:val="1"/>
          <w:numId w:val="8"/>
        </w:numPr>
        <w:spacing w:before="100" w:after="240"/>
        <w:rPr>
          <w:rFonts w:ascii="Century Gothic" w:hAnsi="Century Gothic" w:cs="Arial"/>
          <w:sz w:val="22"/>
        </w:rPr>
      </w:pPr>
      <w:r w:rsidRPr="00EC6302">
        <w:rPr>
          <w:rFonts w:ascii="Century Gothic" w:hAnsi="Century Gothic" w:cs="Arial"/>
          <w:sz w:val="22"/>
        </w:rPr>
        <w:t>The Pharmacy must cooperate with any clinical governance reviews initiated by Waythrough, including providing access to relevant documentation, SOPs, and staff for interview or observation.</w:t>
      </w:r>
    </w:p>
    <w:p w14:paraId="7E0356AC" w14:textId="77777777" w:rsidR="00EC6302" w:rsidRPr="00EC6302" w:rsidRDefault="00EC6302" w:rsidP="00EC6302">
      <w:pPr>
        <w:pStyle w:val="ListParagraph"/>
        <w:numPr>
          <w:ilvl w:val="1"/>
          <w:numId w:val="8"/>
        </w:numPr>
        <w:spacing w:before="100" w:after="240"/>
        <w:rPr>
          <w:rFonts w:ascii="Century Gothic" w:hAnsi="Century Gothic" w:cs="Arial"/>
          <w:sz w:val="22"/>
        </w:rPr>
      </w:pPr>
      <w:r w:rsidRPr="00EC6302">
        <w:rPr>
          <w:rFonts w:ascii="Century Gothic" w:hAnsi="Century Gothic" w:cs="Arial"/>
          <w:sz w:val="22"/>
        </w:rPr>
        <w:t>Where clinical concerns are identified (e.g. unsafe dispensing, repeated errors, failure to follow escalation protocols), Waythrough may initiate a formal review and require the Pharmacy to implement corrective actions within an agreed timeframe.</w:t>
      </w:r>
    </w:p>
    <w:p w14:paraId="6120FD58" w14:textId="77777777" w:rsidR="00EC6302" w:rsidRPr="00FD140D" w:rsidRDefault="00EC6302" w:rsidP="00EC6302">
      <w:pPr>
        <w:pStyle w:val="ListParagraph"/>
        <w:numPr>
          <w:ilvl w:val="1"/>
          <w:numId w:val="8"/>
        </w:numPr>
        <w:spacing w:before="0" w:after="240"/>
        <w:rPr>
          <w:rFonts w:ascii="Century Gothic" w:hAnsi="Century Gothic" w:cs="Arial"/>
          <w:snapToGrid w:val="0"/>
          <w:sz w:val="22"/>
        </w:rPr>
      </w:pPr>
      <w:r w:rsidRPr="00EC6302">
        <w:rPr>
          <w:rFonts w:ascii="Century Gothic" w:hAnsi="Century Gothic" w:cs="Arial"/>
          <w:sz w:val="22"/>
        </w:rPr>
        <w:t>Serious clinical governance breaches may result in suspension or termination of the Agreement, subject to investigation and notification as outlined in this document.</w:t>
      </w:r>
    </w:p>
    <w:p w14:paraId="7FDF62C6" w14:textId="77777777" w:rsidR="00FD140D" w:rsidRPr="00FD140D" w:rsidRDefault="00FD140D" w:rsidP="00FD140D">
      <w:pPr>
        <w:spacing w:after="240"/>
        <w:ind w:left="360"/>
        <w:rPr>
          <w:rFonts w:ascii="Century Gothic" w:hAnsi="Century Gothic" w:cs="Arial"/>
          <w:b/>
          <w:bCs/>
          <w:snapToGrid w:val="0"/>
          <w:sz w:val="22"/>
        </w:rPr>
      </w:pPr>
      <w:r w:rsidRPr="00FD140D">
        <w:rPr>
          <w:rFonts w:ascii="Century Gothic" w:hAnsi="Century Gothic" w:cs="Arial"/>
          <w:b/>
          <w:bCs/>
          <w:snapToGrid w:val="0"/>
          <w:sz w:val="22"/>
        </w:rPr>
        <w:t>Safeguarding Escalation Pathways</w:t>
      </w:r>
    </w:p>
    <w:p w14:paraId="37DD36FF" w14:textId="77777777" w:rsidR="00FD140D" w:rsidRPr="00FD140D" w:rsidRDefault="00FD140D" w:rsidP="00FD140D">
      <w:pPr>
        <w:pStyle w:val="ListParagraph"/>
        <w:numPr>
          <w:ilvl w:val="1"/>
          <w:numId w:val="8"/>
        </w:numPr>
        <w:spacing w:before="0" w:after="240"/>
        <w:rPr>
          <w:rFonts w:ascii="Century Gothic" w:eastAsiaTheme="minorEastAsia" w:hAnsi="Century Gothic" w:cs="Arial"/>
          <w:snapToGrid w:val="0"/>
          <w:color w:val="000000" w:themeColor="text1"/>
          <w:sz w:val="22"/>
        </w:rPr>
      </w:pPr>
      <w:r w:rsidRPr="00FD140D">
        <w:rPr>
          <w:rStyle w:val="normaltextrun"/>
          <w:rFonts w:ascii="Century Gothic" w:hAnsi="Century Gothic" w:cs="Arial"/>
          <w:sz w:val="22"/>
        </w:rPr>
        <w:t xml:space="preserve">Any incidents or concerns must be reported immediately and appropriately actioned in accordance with respective organisations incident reporting processes. </w:t>
      </w:r>
      <w:r w:rsidRPr="00FD140D">
        <w:rPr>
          <w:rFonts w:ascii="Century Gothic" w:hAnsi="Century Gothic" w:cs="Arial"/>
          <w:sz w:val="22"/>
        </w:rPr>
        <w:t xml:space="preserve"> </w:t>
      </w:r>
    </w:p>
    <w:p w14:paraId="3C93B239" w14:textId="77777777"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The Pharmacy must ensure that all safeguarding concerns are escalated in line with local safeguarding protocols and the Pharmacy’s internal safeguarding procedures.</w:t>
      </w:r>
    </w:p>
    <w:p w14:paraId="09290988" w14:textId="77777777"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Where a safeguarding concern is identified, the Pharmacy must notify Waythrough immediately and no later than one working day after becoming aware of the issue.</w:t>
      </w:r>
    </w:p>
    <w:p w14:paraId="065F4B33" w14:textId="77777777" w:rsidR="00FD140D" w:rsidRPr="00FD140D" w:rsidRDefault="00FD140D" w:rsidP="00FD140D">
      <w:pPr>
        <w:pStyle w:val="ListParagraph"/>
        <w:numPr>
          <w:ilvl w:val="1"/>
          <w:numId w:val="8"/>
        </w:numPr>
        <w:spacing w:before="10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The Pharmacy must maintain a named safeguarding lead who is responsible for overseeing safeguarding practices and liaising with Waythrough. This contact must be communicated to Waythrough and updated as required.</w:t>
      </w:r>
    </w:p>
    <w:p w14:paraId="10D49E20" w14:textId="77777777" w:rsidR="00FD140D" w:rsidRPr="00FD140D" w:rsidRDefault="00FD140D" w:rsidP="00FD140D">
      <w:pPr>
        <w:pStyle w:val="ListParagraph"/>
        <w:numPr>
          <w:ilvl w:val="1"/>
          <w:numId w:val="8"/>
        </w:numPr>
        <w:spacing w:before="0" w:after="240"/>
        <w:rPr>
          <w:rFonts w:ascii="Century Gothic" w:eastAsiaTheme="minorEastAsia" w:hAnsi="Century Gothic" w:cs="Arial"/>
          <w:snapToGrid w:val="0"/>
          <w:color w:val="000000" w:themeColor="text1"/>
          <w:sz w:val="22"/>
        </w:rPr>
      </w:pPr>
      <w:r w:rsidRPr="00FD140D">
        <w:rPr>
          <w:rFonts w:ascii="Century Gothic" w:eastAsiaTheme="minorEastAsia" w:hAnsi="Century Gothic" w:cs="Arial"/>
          <w:snapToGrid w:val="0"/>
          <w:color w:val="000000" w:themeColor="text1"/>
          <w:sz w:val="22"/>
        </w:rPr>
        <w:t>Waythrough will provide a named safeguarding contact for escalation and support. Both Parties must cooperate fully in any safeguarding investigation or review, including sharing relevant information in accordance with data protection legislation.</w:t>
      </w:r>
    </w:p>
    <w:p w14:paraId="725F07EA" w14:textId="77777777" w:rsidR="00DC6B69" w:rsidRPr="00DC6B69" w:rsidRDefault="00DC6B69" w:rsidP="00DC6B69">
      <w:pPr>
        <w:spacing w:after="240"/>
        <w:ind w:left="360"/>
        <w:rPr>
          <w:rFonts w:ascii="Century Gothic" w:hAnsi="Century Gothic" w:cs="Arial"/>
          <w:b/>
          <w:bCs/>
          <w:snapToGrid w:val="0"/>
          <w:color w:val="000000" w:themeColor="text1"/>
          <w:sz w:val="22"/>
        </w:rPr>
      </w:pPr>
      <w:r w:rsidRPr="00DC6B69">
        <w:rPr>
          <w:rFonts w:ascii="Century Gothic" w:hAnsi="Century Gothic" w:cs="Arial"/>
          <w:b/>
          <w:bCs/>
          <w:snapToGrid w:val="0"/>
          <w:color w:val="000000" w:themeColor="text1"/>
          <w:sz w:val="22"/>
        </w:rPr>
        <w:t>Business Continuity &amp; Emergency Planning</w:t>
      </w:r>
    </w:p>
    <w:p w14:paraId="42BF9697" w14:textId="193E2A61" w:rsidR="00DC6B69" w:rsidRPr="00DC6B69" w:rsidRDefault="00DC6B69" w:rsidP="00DC6B69">
      <w:pPr>
        <w:spacing w:before="100" w:after="240"/>
        <w:ind w:left="360" w:hanging="360"/>
        <w:rPr>
          <w:rFonts w:ascii="Century Gothic" w:hAnsi="Century Gothic" w:cs="Arial"/>
          <w:snapToGrid w:val="0"/>
          <w:color w:val="000000" w:themeColor="text1"/>
          <w:sz w:val="22"/>
        </w:rPr>
      </w:pPr>
      <w:r w:rsidRPr="00DC6B69">
        <w:rPr>
          <w:rFonts w:ascii="Century Gothic" w:hAnsi="Century Gothic" w:cs="Arial"/>
          <w:snapToGrid w:val="0"/>
          <w:color w:val="000000" w:themeColor="text1"/>
          <w:sz w:val="22"/>
        </w:rPr>
        <w:t>1.22 In the event of unforeseen circumstances, including but not limited to staffing shortages, IT failure, or premises-related incidents (e.g. fire, flood, or structural damage) the Pharmacy must make all reasonable efforts to minimise disruption to people we support and, where necessary, work with Waythrough to identify alternative arrangements to ensure continuity of care.</w:t>
      </w:r>
    </w:p>
    <w:p w14:paraId="4B00FEFD" w14:textId="5E1F0891" w:rsidR="00DC6B69" w:rsidRPr="00DC6B69" w:rsidRDefault="00DC6B69" w:rsidP="00DC6B69">
      <w:pPr>
        <w:numPr>
          <w:ilvl w:val="1"/>
          <w:numId w:val="35"/>
        </w:numPr>
        <w:spacing w:before="0" w:after="240"/>
        <w:rPr>
          <w:rFonts w:ascii="Century Gothic" w:hAnsi="Century Gothic" w:cs="Arial"/>
          <w:snapToGrid w:val="0"/>
          <w:color w:val="000000" w:themeColor="text1"/>
          <w:sz w:val="22"/>
        </w:rPr>
      </w:pPr>
      <w:r w:rsidRPr="00DC6B69">
        <w:rPr>
          <w:rFonts w:ascii="Century Gothic" w:hAnsi="Century Gothic" w:cs="Arial"/>
          <w:snapToGrid w:val="0"/>
          <w:color w:val="000000" w:themeColor="text1"/>
          <w:sz w:val="22"/>
        </w:rPr>
        <w:t>In the event of any disruption to service delivery, the Pharmacy must notify Waythrough as soon as reasonably practicable and no later than one working day after becoming aware of the issue.</w:t>
      </w:r>
    </w:p>
    <w:p w14:paraId="00430B7A" w14:textId="77777777" w:rsidR="00DC6B69" w:rsidRPr="00DC6B69" w:rsidRDefault="00DC6B69" w:rsidP="00DC6B69">
      <w:pPr>
        <w:pStyle w:val="ListParagraph"/>
        <w:numPr>
          <w:ilvl w:val="1"/>
          <w:numId w:val="35"/>
        </w:numPr>
        <w:spacing w:before="0" w:after="240"/>
        <w:rPr>
          <w:rFonts w:ascii="Century Gothic" w:hAnsi="Century Gothic" w:cs="Arial"/>
          <w:snapToGrid w:val="0"/>
          <w:color w:val="000000" w:themeColor="text1"/>
          <w:sz w:val="22"/>
        </w:rPr>
      </w:pPr>
      <w:r w:rsidRPr="00DC6B69">
        <w:rPr>
          <w:rFonts w:ascii="Century Gothic" w:hAnsi="Century Gothic" w:cs="Arial"/>
          <w:snapToGrid w:val="0"/>
          <w:sz w:val="22"/>
        </w:rPr>
        <w:t>All other issues pertaining to concerns, incidents, indemnity, performance, disputes, confidentiality and data handling, must be promptly reported to Waythrough within one working day, as soon as the Pharmacy become aware.</w:t>
      </w:r>
    </w:p>
    <w:p w14:paraId="271BF973" w14:textId="77777777" w:rsidR="00DC6B69" w:rsidRPr="00DC6B69" w:rsidRDefault="00DC6B69" w:rsidP="00DC6B69">
      <w:pPr>
        <w:pStyle w:val="ListParagraph"/>
        <w:numPr>
          <w:ilvl w:val="1"/>
          <w:numId w:val="35"/>
        </w:numPr>
        <w:spacing w:before="0" w:after="240"/>
        <w:rPr>
          <w:rFonts w:ascii="Century Gothic" w:eastAsiaTheme="minorEastAsia" w:hAnsi="Century Gothic"/>
          <w:snapToGrid w:val="0"/>
          <w:color w:val="000000" w:themeColor="text1"/>
          <w:sz w:val="22"/>
        </w:rPr>
      </w:pPr>
      <w:r w:rsidRPr="00DC6B69">
        <w:rPr>
          <w:rStyle w:val="normaltextrun"/>
          <w:rFonts w:ascii="Century Gothic" w:hAnsi="Century Gothic" w:cs="Arial"/>
          <w:color w:val="000000"/>
          <w:sz w:val="22"/>
          <w:bdr w:val="none" w:sz="0" w:space="0" w:color="auto" w:frame="1"/>
        </w:rPr>
        <w:t xml:space="preserve">The Pharmacy must </w:t>
      </w:r>
      <w:r w:rsidRPr="00DC6B69">
        <w:rPr>
          <w:rFonts w:ascii="Century Gothic" w:eastAsia="Arial" w:hAnsi="Century Gothic" w:cs="Arial"/>
          <w:sz w:val="22"/>
        </w:rPr>
        <w:t xml:space="preserve">demonstrate they </w:t>
      </w:r>
      <w:r w:rsidRPr="00DC6B69">
        <w:rPr>
          <w:rStyle w:val="normaltextrun"/>
          <w:rFonts w:ascii="Century Gothic" w:hAnsi="Century Gothic" w:cs="Arial"/>
          <w:color w:val="000000"/>
          <w:sz w:val="22"/>
          <w:bdr w:val="none" w:sz="0" w:space="0" w:color="auto" w:frame="1"/>
        </w:rPr>
        <w:t>have appropriate insurance in place to be able to offer the Service and must ensure that Waythrough is indemnified against any claim arising from the provision of the Service, and in the case of negligence of the Pharmacy: this liability may not be transferred.</w:t>
      </w:r>
      <w:r w:rsidRPr="00DC6B69">
        <w:rPr>
          <w:rFonts w:ascii="Century Gothic" w:hAnsi="Century Gothic" w:cs="Arial"/>
          <w:snapToGrid w:val="0"/>
          <w:sz w:val="22"/>
        </w:rPr>
        <w:t xml:space="preserve"> </w:t>
      </w:r>
    </w:p>
    <w:p w14:paraId="773D781C" w14:textId="77777777" w:rsidR="00DC6B69" w:rsidRPr="00DC6B69" w:rsidRDefault="00DC6B69" w:rsidP="00DC6B69">
      <w:pPr>
        <w:pStyle w:val="ListParagraph"/>
        <w:numPr>
          <w:ilvl w:val="1"/>
          <w:numId w:val="35"/>
        </w:numPr>
        <w:spacing w:before="0" w:after="240"/>
        <w:rPr>
          <w:rFonts w:ascii="Century Gothic" w:hAnsi="Century Gothic" w:cs="Arial"/>
          <w:snapToGrid w:val="0"/>
          <w:sz w:val="22"/>
        </w:rPr>
      </w:pPr>
      <w:r w:rsidRPr="00DC6B69">
        <w:rPr>
          <w:rFonts w:ascii="Century Gothic" w:hAnsi="Century Gothic" w:cs="Arial"/>
          <w:snapToGrid w:val="0"/>
          <w:sz w:val="22"/>
        </w:rPr>
        <w:t>The health and safety of Pharmacy staff (and any associated indemnity issues), remain the responsibility of the Pharmacy.</w:t>
      </w:r>
    </w:p>
    <w:p w14:paraId="0C35AF67" w14:textId="77777777" w:rsidR="00DC6B69" w:rsidRPr="00DC6B69" w:rsidRDefault="00DC6B69" w:rsidP="00DC6B69">
      <w:pPr>
        <w:pStyle w:val="ListParagraph"/>
        <w:numPr>
          <w:ilvl w:val="1"/>
          <w:numId w:val="35"/>
        </w:numPr>
        <w:spacing w:before="0" w:after="240"/>
        <w:rPr>
          <w:rFonts w:ascii="Century Gothic" w:hAnsi="Century Gothic" w:cs="Arial"/>
          <w:snapToGrid w:val="0"/>
          <w:sz w:val="22"/>
        </w:rPr>
      </w:pPr>
      <w:r w:rsidRPr="00DC6B69">
        <w:rPr>
          <w:rStyle w:val="normaltextrun"/>
          <w:rFonts w:ascii="Century Gothic" w:hAnsi="Century Gothic" w:cs="Arial"/>
          <w:color w:val="000000"/>
          <w:sz w:val="22"/>
          <w:shd w:val="clear" w:color="auto" w:fill="FFFFFF"/>
        </w:rPr>
        <w:t xml:space="preserve">Any dispute, which cannot be resolved by negotiation, shall be referred to a nominated arbitrator for example the Local Authority Commissioner for Substance Misuse Services or Chair of the Local Law Society. </w:t>
      </w:r>
      <w:r w:rsidRPr="00DC6B69">
        <w:rPr>
          <w:rStyle w:val="eop"/>
          <w:rFonts w:ascii="Century Gothic" w:hAnsi="Century Gothic" w:cs="Arial"/>
          <w:color w:val="000000"/>
          <w:sz w:val="22"/>
          <w:shd w:val="clear" w:color="auto" w:fill="FFFFFF"/>
        </w:rPr>
        <w:t xml:space="preserve"> </w:t>
      </w:r>
      <w:r w:rsidRPr="00DC6B69">
        <w:rPr>
          <w:rFonts w:ascii="Century Gothic" w:hAnsi="Century Gothic" w:cs="Arial"/>
          <w:snapToGrid w:val="0"/>
          <w:sz w:val="22"/>
        </w:rPr>
        <w:t xml:space="preserve"> </w:t>
      </w:r>
    </w:p>
    <w:p w14:paraId="01BE1186" w14:textId="7F599728" w:rsidR="00FD140D" w:rsidRPr="00DC6B69" w:rsidRDefault="00DC6B69" w:rsidP="00DC6B69">
      <w:pPr>
        <w:pStyle w:val="ListParagraph"/>
        <w:numPr>
          <w:ilvl w:val="0"/>
          <w:numId w:val="0"/>
        </w:numPr>
        <w:spacing w:before="0" w:after="240"/>
        <w:ind w:left="142"/>
        <w:rPr>
          <w:rFonts w:ascii="Century Gothic" w:hAnsi="Century Gothic" w:cs="Arial"/>
          <w:snapToGrid w:val="0"/>
          <w:sz w:val="22"/>
        </w:rPr>
      </w:pPr>
      <w:r w:rsidRPr="00DC6B69">
        <w:rPr>
          <w:rFonts w:ascii="Century Gothic" w:hAnsi="Century Gothic" w:cs="Arial"/>
          <w:snapToGrid w:val="0"/>
          <w:sz w:val="22"/>
        </w:rPr>
        <w:t xml:space="preserve">1.28 Representatives of the Pharmacy (Community Pharmacy </w:t>
      </w:r>
      <w:r w:rsidR="000A11CD">
        <w:rPr>
          <w:rFonts w:ascii="Century Gothic" w:hAnsi="Century Gothic" w:cs="Arial"/>
          <w:snapToGrid w:val="0"/>
          <w:sz w:val="22"/>
        </w:rPr>
        <w:t>South</w:t>
      </w:r>
      <w:r w:rsidRPr="00DC6B69">
        <w:rPr>
          <w:rFonts w:ascii="Century Gothic" w:hAnsi="Century Gothic" w:cs="Arial"/>
          <w:snapToGrid w:val="0"/>
          <w:sz w:val="22"/>
        </w:rPr>
        <w:t xml:space="preserve"> Yorkshire LPC) and Waythrough are required to attend regular review meetings, which should occur at least once a year to discuss any concerns</w:t>
      </w:r>
    </w:p>
    <w:p w14:paraId="319B4036" w14:textId="77777777" w:rsidR="00EC6302" w:rsidRPr="00DC6B69" w:rsidRDefault="00EC6302" w:rsidP="00DC6B69">
      <w:pPr>
        <w:spacing w:before="0"/>
        <w:ind w:left="360" w:hanging="360"/>
        <w:rPr>
          <w:rFonts w:ascii="Century Gothic" w:hAnsi="Century Gothic" w:cs="Arial"/>
          <w:snapToGrid w:val="0"/>
          <w:sz w:val="22"/>
        </w:rPr>
      </w:pPr>
    </w:p>
    <w:p w14:paraId="4516323D" w14:textId="77777777" w:rsidR="001B318C" w:rsidRPr="00E55C4C" w:rsidRDefault="001B318C" w:rsidP="001B318C">
      <w:pPr>
        <w:pStyle w:val="ListParagraph"/>
        <w:numPr>
          <w:ilvl w:val="0"/>
          <w:numId w:val="0"/>
        </w:numPr>
        <w:spacing w:before="0"/>
        <w:ind w:left="360"/>
        <w:rPr>
          <w:rFonts w:ascii="Century Gothic" w:hAnsi="Century Gothic" w:cs="Arial"/>
          <w:snapToGrid w:val="0"/>
          <w:sz w:val="22"/>
        </w:rPr>
      </w:pPr>
    </w:p>
    <w:p w14:paraId="7F921C75" w14:textId="77777777" w:rsidR="001B318C" w:rsidRPr="00E55C4C" w:rsidRDefault="001B318C" w:rsidP="002D046D">
      <w:pPr>
        <w:pStyle w:val="Heading1"/>
        <w:numPr>
          <w:ilvl w:val="0"/>
          <w:numId w:val="6"/>
        </w:numPr>
        <w:spacing w:before="0"/>
        <w:ind w:left="567" w:hanging="567"/>
        <w:rPr>
          <w:rFonts w:ascii="Century Gothic" w:hAnsi="Century Gothic" w:cs="Arial"/>
          <w:color w:val="FF5538"/>
          <w:sz w:val="24"/>
          <w:szCs w:val="24"/>
        </w:rPr>
      </w:pPr>
      <w:bookmarkStart w:id="0" w:name="_Funding"/>
      <w:bookmarkStart w:id="1" w:name="_Funding,_Notices_and"/>
      <w:bookmarkEnd w:id="0"/>
      <w:bookmarkEnd w:id="1"/>
      <w:r w:rsidRPr="00E55C4C">
        <w:rPr>
          <w:rFonts w:ascii="Century Gothic" w:hAnsi="Century Gothic" w:cs="Arial"/>
          <w:color w:val="599879" w:themeColor="accent3"/>
          <w:sz w:val="24"/>
          <w:szCs w:val="24"/>
        </w:rPr>
        <w:t>Funding, Notices and Termination</w:t>
      </w:r>
    </w:p>
    <w:p w14:paraId="0B27C060" w14:textId="3B318DBD" w:rsidR="000A0BB3" w:rsidRPr="00E55C4C" w:rsidRDefault="001B318C" w:rsidP="035327C1">
      <w:pPr>
        <w:pStyle w:val="ListParagraph"/>
        <w:numPr>
          <w:ilvl w:val="1"/>
          <w:numId w:val="9"/>
        </w:numPr>
        <w:spacing w:before="0"/>
        <w:ind w:left="567" w:hanging="567"/>
        <w:rPr>
          <w:rFonts w:ascii="Century Gothic" w:eastAsiaTheme="minorEastAsia" w:hAnsi="Century Gothic"/>
          <w:sz w:val="22"/>
        </w:rPr>
      </w:pPr>
      <w:r w:rsidRPr="00E55C4C">
        <w:rPr>
          <w:rFonts w:ascii="Century Gothic" w:hAnsi="Century Gothic" w:cs="Arial"/>
          <w:sz w:val="22"/>
        </w:rPr>
        <w:t xml:space="preserve">Payment for this scheme is to be agreed between </w:t>
      </w:r>
      <w:r w:rsidR="00986737" w:rsidRPr="00E55C4C">
        <w:rPr>
          <w:rFonts w:ascii="Century Gothic" w:hAnsi="Century Gothic" w:cs="Arial"/>
          <w:sz w:val="22"/>
        </w:rPr>
        <w:t>Waythrough</w:t>
      </w:r>
      <w:r w:rsidRPr="00E55C4C">
        <w:rPr>
          <w:rFonts w:ascii="Century Gothic" w:hAnsi="Century Gothic" w:cs="Arial"/>
          <w:sz w:val="22"/>
        </w:rPr>
        <w:t xml:space="preserve"> (local operational contract management supported by Director of Pharmacy) and relevant Local Pharmaceutical Committee(s) (LPC) (</w:t>
      </w:r>
      <w:r w:rsidR="00D30EE4" w:rsidRPr="00E55C4C">
        <w:rPr>
          <w:rStyle w:val="normaltextrun"/>
          <w:rFonts w:ascii="Century Gothic" w:hAnsi="Century Gothic" w:cs="Arial"/>
          <w:color w:val="000000"/>
          <w:sz w:val="22"/>
          <w:shd w:val="clear" w:color="auto" w:fill="FFFFFF"/>
        </w:rPr>
        <w:t xml:space="preserve">Community Pharmacy </w:t>
      </w:r>
      <w:r w:rsidR="000A11CD">
        <w:rPr>
          <w:rStyle w:val="normaltextrun"/>
          <w:rFonts w:ascii="Century Gothic" w:hAnsi="Century Gothic" w:cs="Arial"/>
          <w:color w:val="000000"/>
          <w:sz w:val="22"/>
          <w:shd w:val="clear" w:color="auto" w:fill="FFFFFF"/>
        </w:rPr>
        <w:t>South</w:t>
      </w:r>
      <w:r w:rsidR="000A11CD" w:rsidRPr="00E55C4C">
        <w:rPr>
          <w:rStyle w:val="normaltextrun"/>
          <w:rFonts w:ascii="Century Gothic" w:hAnsi="Century Gothic" w:cs="Arial"/>
          <w:color w:val="000000"/>
          <w:sz w:val="22"/>
          <w:shd w:val="clear" w:color="auto" w:fill="FFFFFF"/>
        </w:rPr>
        <w:t xml:space="preserve"> </w:t>
      </w:r>
      <w:r w:rsidR="00D30EE4" w:rsidRPr="00E55C4C">
        <w:rPr>
          <w:rStyle w:val="normaltextrun"/>
          <w:rFonts w:ascii="Century Gothic" w:hAnsi="Century Gothic" w:cs="Arial"/>
          <w:color w:val="000000"/>
          <w:sz w:val="22"/>
          <w:shd w:val="clear" w:color="auto" w:fill="FFFFFF"/>
        </w:rPr>
        <w:t>Yorkshire</w:t>
      </w:r>
      <w:r w:rsidRPr="00E55C4C">
        <w:rPr>
          <w:rFonts w:ascii="Century Gothic" w:hAnsi="Century Gothic" w:cs="Arial"/>
          <w:sz w:val="22"/>
        </w:rPr>
        <w:t>) to represent the Pharmacy.</w:t>
      </w:r>
    </w:p>
    <w:p w14:paraId="68C241B6" w14:textId="1773CABE" w:rsidR="001B318C" w:rsidRPr="00E55C4C" w:rsidRDefault="001B318C" w:rsidP="035327C1">
      <w:pPr>
        <w:pStyle w:val="ListParagraph"/>
        <w:numPr>
          <w:ilvl w:val="1"/>
          <w:numId w:val="9"/>
        </w:numPr>
        <w:spacing w:before="0"/>
        <w:ind w:left="567" w:hanging="567"/>
        <w:rPr>
          <w:rFonts w:ascii="Century Gothic" w:eastAsiaTheme="minorEastAsia" w:hAnsi="Century Gothic"/>
          <w:sz w:val="22"/>
        </w:rPr>
      </w:pPr>
      <w:r w:rsidRPr="00E55C4C">
        <w:rPr>
          <w:rFonts w:ascii="Century Gothic" w:hAnsi="Century Gothic" w:cs="Arial"/>
          <w:sz w:val="22"/>
        </w:rPr>
        <w:t>The LPC (</w:t>
      </w:r>
      <w:r w:rsidR="002F5D4A" w:rsidRPr="00E55C4C">
        <w:rPr>
          <w:rStyle w:val="normaltextrun"/>
          <w:rFonts w:ascii="Century Gothic" w:hAnsi="Century Gothic" w:cs="Arial"/>
          <w:color w:val="000000"/>
          <w:sz w:val="22"/>
          <w:shd w:val="clear" w:color="auto" w:fill="FFFFFF"/>
        </w:rPr>
        <w:t xml:space="preserve">Community Pharmacy </w:t>
      </w:r>
      <w:r w:rsidR="000A11CD">
        <w:rPr>
          <w:rStyle w:val="normaltextrun"/>
          <w:rFonts w:ascii="Century Gothic" w:hAnsi="Century Gothic" w:cs="Arial"/>
          <w:color w:val="000000"/>
          <w:sz w:val="22"/>
          <w:shd w:val="clear" w:color="auto" w:fill="FFFFFF"/>
        </w:rPr>
        <w:t>South</w:t>
      </w:r>
      <w:r w:rsidR="000A11CD" w:rsidRPr="00E55C4C">
        <w:rPr>
          <w:rStyle w:val="normaltextrun"/>
          <w:rFonts w:ascii="Century Gothic" w:hAnsi="Century Gothic" w:cs="Arial"/>
          <w:color w:val="000000"/>
          <w:sz w:val="22"/>
          <w:shd w:val="clear" w:color="auto" w:fill="FFFFFF"/>
        </w:rPr>
        <w:t xml:space="preserve"> </w:t>
      </w:r>
      <w:r w:rsidR="002F5D4A" w:rsidRPr="00E55C4C">
        <w:rPr>
          <w:rStyle w:val="normaltextrun"/>
          <w:rFonts w:ascii="Century Gothic" w:hAnsi="Century Gothic" w:cs="Arial"/>
          <w:color w:val="000000"/>
          <w:sz w:val="22"/>
          <w:shd w:val="clear" w:color="auto" w:fill="FFFFFF"/>
        </w:rPr>
        <w:t>Yorkshire</w:t>
      </w:r>
      <w:r w:rsidRPr="00E55C4C">
        <w:rPr>
          <w:rFonts w:ascii="Century Gothic" w:hAnsi="Century Gothic" w:cs="Arial"/>
          <w:sz w:val="22"/>
        </w:rPr>
        <w:t xml:space="preserve">) will act as an agent between </w:t>
      </w:r>
      <w:r w:rsidR="00986737" w:rsidRPr="00E55C4C">
        <w:rPr>
          <w:rFonts w:ascii="Century Gothic" w:hAnsi="Century Gothic" w:cs="Arial"/>
          <w:sz w:val="22"/>
        </w:rPr>
        <w:t>Waythrough</w:t>
      </w:r>
      <w:r w:rsidRPr="00E55C4C">
        <w:rPr>
          <w:rFonts w:ascii="Century Gothic" w:hAnsi="Century Gothic" w:cs="Arial"/>
          <w:sz w:val="22"/>
        </w:rPr>
        <w:t xml:space="preserve"> and the Pharmacy for processing claims for payment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as outlined in the local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licence agreement.</w:t>
      </w:r>
    </w:p>
    <w:p w14:paraId="4EA51884" w14:textId="77777777" w:rsidR="00FE1266" w:rsidRPr="00E55C4C" w:rsidRDefault="00FE1266" w:rsidP="00FE1266">
      <w:pPr>
        <w:pStyle w:val="ListParagraph"/>
        <w:numPr>
          <w:ilvl w:val="0"/>
          <w:numId w:val="0"/>
        </w:numPr>
        <w:spacing w:before="0"/>
        <w:ind w:left="567"/>
        <w:rPr>
          <w:rFonts w:ascii="Century Gothic" w:eastAsiaTheme="minorEastAsia" w:hAnsi="Century Gothic"/>
          <w:sz w:val="22"/>
        </w:rPr>
      </w:pPr>
    </w:p>
    <w:p w14:paraId="7F5FC45F" w14:textId="77777777" w:rsidR="001B318C" w:rsidRPr="00E55C4C" w:rsidRDefault="001B318C" w:rsidP="001B318C">
      <w:pPr>
        <w:pStyle w:val="ListParagraph"/>
        <w:numPr>
          <w:ilvl w:val="0"/>
          <w:numId w:val="0"/>
        </w:numPr>
        <w:tabs>
          <w:tab w:val="center" w:pos="5516"/>
        </w:tabs>
        <w:spacing w:before="0"/>
        <w:ind w:left="567"/>
        <w:rPr>
          <w:rFonts w:ascii="Century Gothic" w:hAnsi="Century Gothic" w:cs="Arial"/>
          <w:b/>
          <w:bCs/>
          <w:sz w:val="22"/>
        </w:rPr>
      </w:pPr>
      <w:r w:rsidRPr="00E55C4C">
        <w:rPr>
          <w:rFonts w:ascii="Century Gothic" w:hAnsi="Century Gothic" w:cs="Arial"/>
          <w:b/>
          <w:bCs/>
          <w:sz w:val="22"/>
        </w:rPr>
        <w:t xml:space="preserve">Payment:  </w:t>
      </w:r>
    </w:p>
    <w:p w14:paraId="578A097B" w14:textId="0FF30AA0" w:rsidR="00F079CA" w:rsidRDefault="00F079CA" w:rsidP="00964110">
      <w:pPr>
        <w:pStyle w:val="ListParagraph"/>
        <w:numPr>
          <w:ilvl w:val="0"/>
          <w:numId w:val="7"/>
        </w:numPr>
        <w:tabs>
          <w:tab w:val="left" w:pos="1134"/>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w:t>
      </w:r>
      <w:r w:rsidR="00F95C47" w:rsidRPr="00E55C4C">
        <w:rPr>
          <w:rFonts w:ascii="Century Gothic" w:eastAsia="Arial" w:hAnsi="Century Gothic" w:cs="Arial"/>
          <w:b/>
          <w:bCs/>
          <w:color w:val="000000" w:themeColor="text1"/>
          <w:sz w:val="22"/>
        </w:rPr>
        <w:t>1</w:t>
      </w:r>
      <w:r w:rsidR="00315FD2" w:rsidRPr="00E55C4C">
        <w:rPr>
          <w:rFonts w:ascii="Century Gothic" w:eastAsia="Arial" w:hAnsi="Century Gothic" w:cs="Arial"/>
          <w:b/>
          <w:bCs/>
          <w:color w:val="000000" w:themeColor="text1"/>
          <w:sz w:val="22"/>
        </w:rPr>
        <w:t>50</w:t>
      </w:r>
      <w:r w:rsidRPr="00E55C4C">
        <w:rPr>
          <w:rFonts w:ascii="Century Gothic" w:eastAsia="Arial" w:hAnsi="Century Gothic" w:cs="Arial"/>
          <w:b/>
          <w:bCs/>
          <w:color w:val="000000" w:themeColor="text1"/>
          <w:sz w:val="22"/>
        </w:rPr>
        <w:t xml:space="preserve"> </w:t>
      </w:r>
      <w:r w:rsidRPr="00E55C4C">
        <w:rPr>
          <w:rFonts w:ascii="Century Gothic" w:eastAsia="Arial" w:hAnsi="Century Gothic" w:cs="Arial"/>
          <w:color w:val="000000" w:themeColor="text1"/>
          <w:sz w:val="22"/>
        </w:rPr>
        <w:t>per pharmacy</w:t>
      </w:r>
      <w:r w:rsidR="00804610">
        <w:rPr>
          <w:rFonts w:ascii="Century Gothic" w:eastAsia="Arial" w:hAnsi="Century Gothic" w:cs="Arial"/>
          <w:color w:val="000000" w:themeColor="text1"/>
          <w:sz w:val="22"/>
        </w:rPr>
        <w:t>*</w:t>
      </w:r>
      <w:r w:rsidRPr="00E55C4C">
        <w:rPr>
          <w:rFonts w:ascii="Century Gothic" w:eastAsia="Arial" w:hAnsi="Century Gothic" w:cs="Arial"/>
          <w:color w:val="000000" w:themeColor="text1"/>
          <w:sz w:val="22"/>
        </w:rPr>
        <w:t xml:space="preserve"> set up fee to cover training and preparation</w:t>
      </w:r>
      <w:r w:rsidR="00FE1266" w:rsidRPr="00E55C4C">
        <w:rPr>
          <w:rFonts w:ascii="Century Gothic" w:eastAsia="Arial" w:hAnsi="Century Gothic" w:cs="Arial"/>
          <w:color w:val="000000" w:themeColor="text1"/>
          <w:sz w:val="22"/>
        </w:rPr>
        <w:t xml:space="preserve"> (</w:t>
      </w:r>
      <w:r w:rsidR="004B1E85" w:rsidRPr="00E55C4C">
        <w:rPr>
          <w:rFonts w:ascii="Century Gothic" w:eastAsia="Arial" w:hAnsi="Century Gothic" w:cs="Arial"/>
          <w:color w:val="000000" w:themeColor="text1"/>
          <w:sz w:val="22"/>
        </w:rPr>
        <w:t xml:space="preserve">one-off for </w:t>
      </w:r>
      <w:r w:rsidR="00FE1266" w:rsidRPr="00E55C4C">
        <w:rPr>
          <w:rFonts w:ascii="Century Gothic" w:eastAsia="Arial" w:hAnsi="Century Gothic" w:cs="Arial"/>
          <w:color w:val="000000" w:themeColor="text1"/>
          <w:sz w:val="22"/>
        </w:rPr>
        <w:t>both services</w:t>
      </w:r>
      <w:r w:rsidR="00A50B38">
        <w:rPr>
          <w:rFonts w:ascii="Century Gothic" w:eastAsia="Arial" w:hAnsi="Century Gothic" w:cs="Arial"/>
          <w:color w:val="000000" w:themeColor="text1"/>
          <w:sz w:val="22"/>
        </w:rPr>
        <w:t xml:space="preserve"> per pharmacy</w:t>
      </w:r>
      <w:r w:rsidR="00FE1266" w:rsidRPr="00E55C4C">
        <w:rPr>
          <w:rFonts w:ascii="Century Gothic" w:eastAsia="Arial" w:hAnsi="Century Gothic" w:cs="Arial"/>
          <w:color w:val="000000" w:themeColor="text1"/>
          <w:sz w:val="22"/>
        </w:rPr>
        <w:t>)</w:t>
      </w:r>
    </w:p>
    <w:p w14:paraId="5AACFFCB" w14:textId="103E10C8" w:rsidR="00804610" w:rsidRPr="00CD7B10" w:rsidRDefault="00804610" w:rsidP="00804610">
      <w:pPr>
        <w:tabs>
          <w:tab w:val="left" w:pos="1134"/>
          <w:tab w:val="center" w:pos="5516"/>
        </w:tabs>
        <w:spacing w:before="0"/>
        <w:ind w:left="709"/>
        <w:rPr>
          <w:rFonts w:ascii="Century Gothic" w:eastAsia="Arial" w:hAnsi="Century Gothic" w:cs="Arial"/>
          <w:color w:val="000000" w:themeColor="text1"/>
          <w:sz w:val="18"/>
          <w:szCs w:val="18"/>
        </w:rPr>
      </w:pPr>
      <w:r w:rsidRPr="00CD7B10">
        <w:rPr>
          <w:rFonts w:ascii="Century Gothic" w:eastAsia="Arial" w:hAnsi="Century Gothic" w:cs="Arial"/>
          <w:color w:val="000000" w:themeColor="text1"/>
          <w:sz w:val="18"/>
          <w:szCs w:val="18"/>
        </w:rPr>
        <w:t>*</w:t>
      </w:r>
      <w:proofErr w:type="gramStart"/>
      <w:r w:rsidR="000E1045" w:rsidRPr="00CD7B10">
        <w:rPr>
          <w:rFonts w:ascii="Century Gothic" w:eastAsia="Arial" w:hAnsi="Century Gothic" w:cs="Arial"/>
          <w:color w:val="000000" w:themeColor="text1"/>
          <w:sz w:val="18"/>
          <w:szCs w:val="18"/>
        </w:rPr>
        <w:t>new</w:t>
      </w:r>
      <w:proofErr w:type="gramEnd"/>
      <w:r w:rsidR="000E1045" w:rsidRPr="00CD7B10">
        <w:rPr>
          <w:rFonts w:ascii="Century Gothic" w:eastAsia="Arial" w:hAnsi="Century Gothic" w:cs="Arial"/>
          <w:color w:val="000000" w:themeColor="text1"/>
          <w:sz w:val="18"/>
          <w:szCs w:val="18"/>
        </w:rPr>
        <w:t xml:space="preserve"> to THN and ENAP pharmacies only </w:t>
      </w:r>
    </w:p>
    <w:p w14:paraId="59D22D67" w14:textId="77777777" w:rsidR="004B1E85" w:rsidRPr="00E55C4C" w:rsidRDefault="004B1E85" w:rsidP="00DC5A6A">
      <w:pPr>
        <w:pStyle w:val="ListParagraph"/>
        <w:numPr>
          <w:ilvl w:val="0"/>
          <w:numId w:val="0"/>
        </w:numPr>
        <w:tabs>
          <w:tab w:val="left" w:pos="1134"/>
          <w:tab w:val="center" w:pos="5516"/>
        </w:tabs>
        <w:spacing w:before="0"/>
        <w:ind w:left="993"/>
        <w:rPr>
          <w:rFonts w:ascii="Century Gothic" w:eastAsia="Arial" w:hAnsi="Century Gothic" w:cs="Arial"/>
          <w:color w:val="000000" w:themeColor="text1"/>
          <w:sz w:val="22"/>
        </w:rPr>
      </w:pPr>
    </w:p>
    <w:p w14:paraId="24B93816" w14:textId="3BFF2B30" w:rsidR="004B1E85" w:rsidRPr="00DC6B69" w:rsidRDefault="004B1E85" w:rsidP="00DC5A6A">
      <w:pPr>
        <w:tabs>
          <w:tab w:val="left" w:pos="567"/>
          <w:tab w:val="center" w:pos="5516"/>
        </w:tabs>
        <w:spacing w:before="0"/>
        <w:ind w:left="-142"/>
        <w:rPr>
          <w:rFonts w:ascii="Century Gothic" w:eastAsia="Arial" w:hAnsi="Century Gothic" w:cs="Arial"/>
          <w:b/>
          <w:bCs/>
          <w:color w:val="000000" w:themeColor="text1"/>
          <w:sz w:val="22"/>
          <w:u w:val="single"/>
        </w:rPr>
      </w:pPr>
      <w:r w:rsidRPr="00E55C4C">
        <w:rPr>
          <w:rFonts w:ascii="Century Gothic" w:eastAsia="Arial" w:hAnsi="Century Gothic" w:cs="Arial"/>
          <w:color w:val="000000" w:themeColor="text1"/>
          <w:sz w:val="22"/>
        </w:rPr>
        <w:tab/>
      </w:r>
      <w:r w:rsidRPr="00DC6B69">
        <w:rPr>
          <w:rFonts w:ascii="Century Gothic" w:eastAsia="Arial" w:hAnsi="Century Gothic" w:cs="Arial"/>
          <w:b/>
          <w:bCs/>
          <w:color w:val="599879" w:themeColor="accent3"/>
          <w:sz w:val="22"/>
          <w:u w:val="single"/>
        </w:rPr>
        <w:t>ENAP:</w:t>
      </w:r>
    </w:p>
    <w:p w14:paraId="7B4CAA8F" w14:textId="65659FF2" w:rsidR="29F891B1" w:rsidRPr="00E55C4C" w:rsidRDefault="29F891B1" w:rsidP="00964110">
      <w:pPr>
        <w:pStyle w:val="ListParagraph"/>
        <w:numPr>
          <w:ilvl w:val="0"/>
          <w:numId w:val="7"/>
        </w:numPr>
        <w:tabs>
          <w:tab w:val="left" w:pos="993"/>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w:t>
      </w:r>
      <w:r w:rsidR="00315FD2" w:rsidRPr="00E55C4C">
        <w:rPr>
          <w:rFonts w:ascii="Century Gothic" w:eastAsia="Arial" w:hAnsi="Century Gothic" w:cs="Arial"/>
          <w:b/>
          <w:bCs/>
          <w:color w:val="000000" w:themeColor="text1"/>
          <w:sz w:val="22"/>
        </w:rPr>
        <w:t>4</w:t>
      </w:r>
      <w:r w:rsidRPr="00E55C4C">
        <w:rPr>
          <w:rFonts w:ascii="Century Gothic" w:eastAsia="Arial" w:hAnsi="Century Gothic" w:cs="Arial"/>
          <w:b/>
          <w:bCs/>
          <w:color w:val="000000" w:themeColor="text1"/>
          <w:sz w:val="22"/>
        </w:rPr>
        <w:t xml:space="preserve">.00 </w:t>
      </w:r>
      <w:r w:rsidRPr="00E55C4C">
        <w:rPr>
          <w:rFonts w:ascii="Century Gothic" w:eastAsia="Arial" w:hAnsi="Century Gothic" w:cs="Arial"/>
          <w:color w:val="000000" w:themeColor="text1"/>
          <w:sz w:val="22"/>
        </w:rPr>
        <w:t xml:space="preserve">per </w:t>
      </w:r>
      <w:proofErr w:type="spellStart"/>
      <w:r w:rsidR="00315FD2" w:rsidRPr="00E55C4C">
        <w:rPr>
          <w:rFonts w:ascii="Century Gothic" w:eastAsia="Arial" w:hAnsi="Century Gothic" w:cs="Arial"/>
          <w:color w:val="000000" w:themeColor="text1"/>
          <w:sz w:val="22"/>
        </w:rPr>
        <w:t>PharmOutcomes</w:t>
      </w:r>
      <w:proofErr w:type="spellEnd"/>
      <w:r w:rsidR="00315FD2" w:rsidRPr="00E55C4C">
        <w:rPr>
          <w:rFonts w:ascii="Century Gothic" w:eastAsia="Arial" w:hAnsi="Century Gothic" w:cs="Arial"/>
          <w:color w:val="000000" w:themeColor="text1"/>
          <w:sz w:val="22"/>
        </w:rPr>
        <w:t xml:space="preserve"> entry</w:t>
      </w:r>
      <w:r w:rsidR="002D487C" w:rsidRPr="00E55C4C">
        <w:rPr>
          <w:rFonts w:ascii="Century Gothic" w:eastAsia="Arial" w:hAnsi="Century Gothic" w:cs="Arial"/>
          <w:color w:val="000000" w:themeColor="text1"/>
          <w:sz w:val="22"/>
        </w:rPr>
        <w:t>*</w:t>
      </w:r>
    </w:p>
    <w:p w14:paraId="671625B4" w14:textId="77777777" w:rsidR="00DC5A6A" w:rsidRPr="00E55C4C" w:rsidRDefault="00DC5A6A" w:rsidP="00DC5A6A">
      <w:pPr>
        <w:pStyle w:val="ListParagraph"/>
        <w:numPr>
          <w:ilvl w:val="0"/>
          <w:numId w:val="0"/>
        </w:numPr>
        <w:tabs>
          <w:tab w:val="left" w:pos="993"/>
          <w:tab w:val="center" w:pos="5516"/>
        </w:tabs>
        <w:spacing w:before="0"/>
        <w:ind w:left="993"/>
        <w:rPr>
          <w:rFonts w:ascii="Century Gothic" w:eastAsia="Arial" w:hAnsi="Century Gothic" w:cs="Arial"/>
          <w:color w:val="000000" w:themeColor="text1"/>
          <w:sz w:val="22"/>
        </w:rPr>
      </w:pPr>
    </w:p>
    <w:p w14:paraId="0C741710" w14:textId="5B50AA39" w:rsidR="00A81881" w:rsidRPr="00DC6B69" w:rsidRDefault="00A81881" w:rsidP="00A81881">
      <w:pPr>
        <w:pStyle w:val="ListParagraph"/>
        <w:numPr>
          <w:ilvl w:val="0"/>
          <w:numId w:val="0"/>
        </w:numPr>
        <w:tabs>
          <w:tab w:val="center" w:pos="5516"/>
        </w:tabs>
        <w:spacing w:before="0"/>
        <w:ind w:left="567"/>
        <w:rPr>
          <w:rFonts w:ascii="Century Gothic" w:eastAsia="Arial" w:hAnsi="Century Gothic" w:cs="Arial"/>
          <w:b/>
          <w:bCs/>
          <w:color w:val="599879" w:themeColor="accent3"/>
          <w:sz w:val="22"/>
          <w:u w:val="single"/>
        </w:rPr>
      </w:pPr>
      <w:r w:rsidRPr="00DC6B69">
        <w:rPr>
          <w:rFonts w:ascii="Century Gothic" w:eastAsia="Arial" w:hAnsi="Century Gothic" w:cs="Arial"/>
          <w:b/>
          <w:bCs/>
          <w:color w:val="599879" w:themeColor="accent3"/>
          <w:sz w:val="22"/>
          <w:u w:val="single"/>
        </w:rPr>
        <w:t>THN:</w:t>
      </w:r>
    </w:p>
    <w:p w14:paraId="4FBD40FC" w14:textId="647B5407" w:rsidR="00A07261" w:rsidRPr="00E55C4C" w:rsidRDefault="00A07261" w:rsidP="00964110">
      <w:pPr>
        <w:pStyle w:val="ListParagraph"/>
        <w:numPr>
          <w:ilvl w:val="0"/>
          <w:numId w:val="7"/>
        </w:numPr>
        <w:tabs>
          <w:tab w:val="left" w:pos="993"/>
          <w:tab w:val="center" w:pos="5516"/>
        </w:tabs>
        <w:spacing w:before="0"/>
        <w:ind w:left="993" w:hanging="284"/>
        <w:rPr>
          <w:rFonts w:ascii="Century Gothic" w:eastAsia="Arial" w:hAnsi="Century Gothic" w:cs="Arial"/>
          <w:color w:val="000000" w:themeColor="text1"/>
          <w:sz w:val="22"/>
        </w:rPr>
      </w:pPr>
      <w:r w:rsidRPr="00E55C4C">
        <w:rPr>
          <w:rFonts w:ascii="Century Gothic" w:eastAsia="Arial" w:hAnsi="Century Gothic" w:cs="Arial"/>
          <w:b/>
          <w:bCs/>
          <w:color w:val="000000" w:themeColor="text1"/>
          <w:sz w:val="22"/>
        </w:rPr>
        <w:t xml:space="preserve">£8.00 </w:t>
      </w:r>
      <w:r w:rsidRPr="00E55C4C">
        <w:rPr>
          <w:rFonts w:ascii="Century Gothic" w:eastAsia="Arial" w:hAnsi="Century Gothic" w:cs="Arial"/>
          <w:color w:val="000000" w:themeColor="text1"/>
          <w:sz w:val="22"/>
        </w:rPr>
        <w:t>per supply transaction (regardless of the naloxone device type, quantity, or if it is the first or subsequent supply being provided)</w:t>
      </w:r>
    </w:p>
    <w:p w14:paraId="46E34161" w14:textId="4D8714AF" w:rsidR="009F163B" w:rsidRPr="00E55C4C" w:rsidRDefault="009F163B" w:rsidP="00156117">
      <w:pPr>
        <w:tabs>
          <w:tab w:val="left" w:pos="993"/>
          <w:tab w:val="center" w:pos="5516"/>
        </w:tabs>
        <w:spacing w:before="0"/>
        <w:rPr>
          <w:rFonts w:ascii="Century Gothic" w:eastAsia="Arial" w:hAnsi="Century Gothic" w:cs="Arial"/>
          <w:color w:val="000000" w:themeColor="text1"/>
          <w:sz w:val="22"/>
        </w:rPr>
      </w:pPr>
    </w:p>
    <w:p w14:paraId="321DD924" w14:textId="703F1717" w:rsidR="001B318C" w:rsidRPr="00E55C4C" w:rsidRDefault="001B318C" w:rsidP="00206496">
      <w:pPr>
        <w:spacing w:before="0"/>
        <w:ind w:left="851" w:hanging="284"/>
        <w:rPr>
          <w:rFonts w:ascii="Century Gothic" w:hAnsi="Century Gothic" w:cs="Arial"/>
          <w:sz w:val="22"/>
        </w:rPr>
      </w:pPr>
      <w:r w:rsidRPr="00E55C4C">
        <w:rPr>
          <w:rFonts w:ascii="Century Gothic" w:hAnsi="Century Gothic" w:cs="Arial"/>
          <w:sz w:val="22"/>
        </w:rPr>
        <w:t xml:space="preserve">This payment covers: </w:t>
      </w:r>
    </w:p>
    <w:p w14:paraId="51826EF4" w14:textId="0FDABAA3" w:rsidR="003349CA" w:rsidRPr="00E55C4C" w:rsidRDefault="003349CA"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Completion </w:t>
      </w:r>
      <w:r w:rsidR="00107700" w:rsidRPr="00E55C4C">
        <w:rPr>
          <w:rFonts w:ascii="Century Gothic" w:hAnsi="Century Gothic" w:cs="Arial"/>
          <w:sz w:val="22"/>
        </w:rPr>
        <w:t>of relevant training to ensure maintenance of confidence and competence when supporting people who use substances.</w:t>
      </w:r>
    </w:p>
    <w:p w14:paraId="43E5A56C" w14:textId="52CDF7EB" w:rsidR="00E3467B" w:rsidRPr="00E55C4C" w:rsidRDefault="00E3467B"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Pharmacy staff time and associated costs for the THN activity.</w:t>
      </w:r>
    </w:p>
    <w:p w14:paraId="6CA3B2D4" w14:textId="08A232C5" w:rsidR="001B318C" w:rsidRPr="00E55C4C" w:rsidRDefault="001B318C"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Record keeping activities to include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data entries.</w:t>
      </w:r>
    </w:p>
    <w:p w14:paraId="332346E6" w14:textId="02F46070" w:rsidR="00050425" w:rsidRPr="00E55C4C" w:rsidRDefault="00050425" w:rsidP="00206496">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 xml:space="preserve">Communication with </w:t>
      </w:r>
      <w:r w:rsidR="00986737" w:rsidRPr="00E55C4C">
        <w:rPr>
          <w:rFonts w:ascii="Century Gothic" w:hAnsi="Century Gothic" w:cs="Arial"/>
          <w:sz w:val="22"/>
        </w:rPr>
        <w:t>Waythrough</w:t>
      </w:r>
      <w:r w:rsidRPr="00E55C4C">
        <w:rPr>
          <w:rFonts w:ascii="Century Gothic" w:hAnsi="Century Gothic" w:cs="Arial"/>
          <w:sz w:val="22"/>
        </w:rPr>
        <w:t>/relevant others relating to this Service.</w:t>
      </w:r>
    </w:p>
    <w:p w14:paraId="13DDF0A6" w14:textId="77777777" w:rsidR="001B318C" w:rsidRPr="00E55C4C" w:rsidRDefault="001B318C" w:rsidP="002D046D">
      <w:pPr>
        <w:pStyle w:val="ListParagraph"/>
        <w:numPr>
          <w:ilvl w:val="1"/>
          <w:numId w:val="3"/>
        </w:numPr>
        <w:spacing w:before="0"/>
        <w:ind w:left="851" w:hanging="284"/>
        <w:rPr>
          <w:rFonts w:ascii="Century Gothic" w:hAnsi="Century Gothic" w:cs="Arial"/>
          <w:sz w:val="22"/>
        </w:rPr>
      </w:pPr>
      <w:r w:rsidRPr="00E55C4C">
        <w:rPr>
          <w:rFonts w:ascii="Century Gothic" w:hAnsi="Century Gothic" w:cs="Arial"/>
          <w:sz w:val="22"/>
        </w:rPr>
        <w:t>Active participation in Quality Assurance visits and achieving required Quality Standards (where applicable)</w:t>
      </w:r>
    </w:p>
    <w:p w14:paraId="18935203" w14:textId="77777777" w:rsidR="003D2A41" w:rsidRPr="00E55C4C" w:rsidRDefault="003D2A41" w:rsidP="003D2A41">
      <w:pPr>
        <w:pStyle w:val="ListParagraph"/>
        <w:numPr>
          <w:ilvl w:val="0"/>
          <w:numId w:val="0"/>
        </w:numPr>
        <w:spacing w:before="0"/>
        <w:ind w:left="851"/>
        <w:rPr>
          <w:rFonts w:ascii="Century Gothic" w:hAnsi="Century Gothic" w:cs="Arial"/>
          <w:sz w:val="22"/>
        </w:rPr>
      </w:pPr>
    </w:p>
    <w:p w14:paraId="0F8ED2BF" w14:textId="173B8537" w:rsidR="00206496" w:rsidRPr="00E55C4C" w:rsidRDefault="00AF5B6A" w:rsidP="00AF5B6A">
      <w:pPr>
        <w:pStyle w:val="ListParagraph"/>
        <w:numPr>
          <w:ilvl w:val="0"/>
          <w:numId w:val="0"/>
        </w:numPr>
        <w:spacing w:before="0"/>
        <w:ind w:left="709"/>
        <w:rPr>
          <w:rFonts w:ascii="Century Gothic" w:hAnsi="Century Gothic" w:cs="Arial"/>
          <w:sz w:val="22"/>
        </w:rPr>
      </w:pPr>
      <w:r w:rsidRPr="00E55C4C">
        <w:rPr>
          <w:rFonts w:ascii="Century Gothic" w:hAnsi="Century Gothic" w:cs="Arial"/>
          <w:sz w:val="22"/>
        </w:rPr>
        <w:t>(</w:t>
      </w:r>
      <w:r w:rsidR="002D487C" w:rsidRPr="00E55C4C">
        <w:rPr>
          <w:rFonts w:ascii="Century Gothic" w:hAnsi="Century Gothic" w:cs="Arial"/>
          <w:sz w:val="22"/>
        </w:rPr>
        <w:t xml:space="preserve">* </w:t>
      </w:r>
      <w:r w:rsidR="00206496" w:rsidRPr="00E55C4C">
        <w:rPr>
          <w:rFonts w:ascii="Century Gothic" w:hAnsi="Century Gothic" w:cs="Arial"/>
          <w:sz w:val="22"/>
        </w:rPr>
        <w:t xml:space="preserve">It should be noted that the </w:t>
      </w:r>
      <w:r w:rsidR="00AE680C" w:rsidRPr="00E55C4C">
        <w:rPr>
          <w:rFonts w:ascii="Century Gothic" w:hAnsi="Century Gothic" w:cs="Arial"/>
          <w:sz w:val="22"/>
        </w:rPr>
        <w:t xml:space="preserve">event </w:t>
      </w:r>
      <w:r w:rsidR="00206496" w:rsidRPr="00E55C4C">
        <w:rPr>
          <w:rFonts w:ascii="Century Gothic" w:hAnsi="Century Gothic" w:cs="Arial"/>
          <w:sz w:val="22"/>
        </w:rPr>
        <w:t xml:space="preserve">payment is not associated with the </w:t>
      </w:r>
      <w:r w:rsidR="00921A49" w:rsidRPr="00E55C4C">
        <w:rPr>
          <w:rFonts w:ascii="Century Gothic" w:hAnsi="Century Gothic" w:cs="Arial"/>
          <w:sz w:val="22"/>
        </w:rPr>
        <w:t>process of naloxone administration for the purpose of saving a lif</w:t>
      </w:r>
      <w:r w:rsidR="00AE680C" w:rsidRPr="00E55C4C">
        <w:rPr>
          <w:rFonts w:ascii="Century Gothic" w:hAnsi="Century Gothic" w:cs="Arial"/>
          <w:sz w:val="22"/>
        </w:rPr>
        <w:t>e but rather for the governance</w:t>
      </w:r>
      <w:r w:rsidR="009757C0" w:rsidRPr="00E55C4C">
        <w:rPr>
          <w:rFonts w:ascii="Century Gothic" w:hAnsi="Century Gothic" w:cs="Arial"/>
          <w:sz w:val="22"/>
        </w:rPr>
        <w:t>, monitoring</w:t>
      </w:r>
      <w:r w:rsidR="00AE680C" w:rsidRPr="00E55C4C">
        <w:rPr>
          <w:rFonts w:ascii="Century Gothic" w:hAnsi="Century Gothic" w:cs="Arial"/>
          <w:sz w:val="22"/>
        </w:rPr>
        <w:t xml:space="preserve"> and recording activities undertaken within the pharmacy.</w:t>
      </w:r>
      <w:r w:rsidRPr="00E55C4C">
        <w:rPr>
          <w:rFonts w:ascii="Century Gothic" w:hAnsi="Century Gothic" w:cs="Arial"/>
          <w:sz w:val="22"/>
        </w:rPr>
        <w:t>)</w:t>
      </w:r>
    </w:p>
    <w:p w14:paraId="5A8CBE9A" w14:textId="6FE5F96F" w:rsidR="009F163B" w:rsidRPr="00E55C4C" w:rsidRDefault="009F163B" w:rsidP="00AF5B6A">
      <w:pPr>
        <w:pStyle w:val="ListParagraph"/>
        <w:numPr>
          <w:ilvl w:val="0"/>
          <w:numId w:val="0"/>
        </w:numPr>
        <w:spacing w:before="0"/>
        <w:ind w:left="709"/>
        <w:rPr>
          <w:rFonts w:ascii="Century Gothic" w:hAnsi="Century Gothic" w:cs="Arial"/>
          <w:sz w:val="22"/>
        </w:rPr>
      </w:pPr>
    </w:p>
    <w:p w14:paraId="79EAF341" w14:textId="015A20F6" w:rsidR="00A018A5"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A018A5" w:rsidRPr="00E55C4C">
        <w:rPr>
          <w:rFonts w:ascii="Century Gothic" w:hAnsi="Century Gothic" w:cs="Arial"/>
          <w:sz w:val="22"/>
        </w:rPr>
        <w:t xml:space="preserve"> will make provision for pharmacies to order stock from a third-party supplier</w:t>
      </w:r>
      <w:r w:rsidR="006B25F1" w:rsidRPr="00E55C4C">
        <w:rPr>
          <w:rFonts w:ascii="Century Gothic" w:hAnsi="Century Gothic" w:cs="Arial"/>
          <w:sz w:val="22"/>
        </w:rPr>
        <w:t xml:space="preserve"> (free of charge)</w:t>
      </w:r>
      <w:r w:rsidR="00A018A5" w:rsidRPr="00E55C4C">
        <w:rPr>
          <w:rFonts w:ascii="Century Gothic" w:hAnsi="Century Gothic" w:cs="Arial"/>
          <w:sz w:val="22"/>
        </w:rPr>
        <w:t>. Details will be provided to the pharmacies after signed SLAs are received and at least one member of pharmacy staff at a minimum attended the training.  </w:t>
      </w:r>
    </w:p>
    <w:p w14:paraId="325ACC30" w14:textId="1DFFD068"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Pharmacies will be selected to provide the Service dependent upon identified </w:t>
      </w:r>
      <w:r w:rsidR="00D43A1C" w:rsidRPr="00E55C4C">
        <w:rPr>
          <w:rFonts w:ascii="Century Gothic" w:hAnsi="Century Gothic" w:cs="Arial"/>
          <w:snapToGrid w:val="0"/>
          <w:sz w:val="22"/>
        </w:rPr>
        <w:t>local</w:t>
      </w:r>
      <w:r w:rsidRPr="00E55C4C">
        <w:rPr>
          <w:rFonts w:ascii="Century Gothic" w:hAnsi="Century Gothic" w:cs="Arial"/>
          <w:snapToGrid w:val="0"/>
          <w:sz w:val="22"/>
        </w:rPr>
        <w:t xml:space="preserve"> needs.</w:t>
      </w:r>
    </w:p>
    <w:p w14:paraId="7BD78402" w14:textId="28D1E623" w:rsidR="00894764" w:rsidRPr="00E55C4C" w:rsidRDefault="005F1209"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u w:val="single"/>
        </w:rPr>
        <w:t>The Pharmacy should usually keep a minimum stock of two kits of each product type at any given time, replenishing the stock as required.</w:t>
      </w:r>
    </w:p>
    <w:p w14:paraId="5795F2EA" w14:textId="514D9C01" w:rsidR="009E2A07" w:rsidRPr="00E55C4C" w:rsidRDefault="00BB168E" w:rsidP="6FCDFA41">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Any changes to the terms of the contract (including reduced funding) will be made with at least 60 </w:t>
      </w:r>
      <w:r w:rsidR="00D50322" w:rsidRPr="00E55C4C">
        <w:rPr>
          <w:rFonts w:ascii="Century Gothic" w:hAnsi="Century Gothic" w:cs="Arial"/>
          <w:snapToGrid w:val="0"/>
          <w:sz w:val="22"/>
        </w:rPr>
        <w:t>days’ notice</w:t>
      </w:r>
      <w:r w:rsidR="00AC2D28" w:rsidRPr="00E55C4C">
        <w:rPr>
          <w:rFonts w:ascii="Century Gothic" w:hAnsi="Century Gothic" w:cs="Arial"/>
          <w:snapToGrid w:val="0"/>
          <w:sz w:val="22"/>
        </w:rPr>
        <w:t xml:space="preserve"> </w:t>
      </w:r>
      <w:proofErr w:type="gramStart"/>
      <w:r w:rsidR="00114F04" w:rsidRPr="00E55C4C">
        <w:rPr>
          <w:rFonts w:ascii="Century Gothic" w:hAnsi="Century Gothic" w:cs="Arial"/>
          <w:snapToGrid w:val="0"/>
          <w:sz w:val="22"/>
        </w:rPr>
        <w:t>in order to</w:t>
      </w:r>
      <w:proofErr w:type="gramEnd"/>
      <w:r w:rsidR="00114F04" w:rsidRPr="00E55C4C">
        <w:rPr>
          <w:rFonts w:ascii="Century Gothic" w:hAnsi="Century Gothic" w:cs="Arial"/>
          <w:snapToGrid w:val="0"/>
          <w:sz w:val="22"/>
        </w:rPr>
        <w:t xml:space="preserve"> cause the least disruption for people who need the service. The</w:t>
      </w:r>
      <w:r w:rsidR="00AC2D28" w:rsidRPr="00E55C4C">
        <w:rPr>
          <w:rFonts w:ascii="Century Gothic" w:hAnsi="Century Gothic" w:cs="Arial"/>
          <w:snapToGrid w:val="0"/>
          <w:sz w:val="22"/>
        </w:rPr>
        <w:t xml:space="preserve"> Pharmacy</w:t>
      </w:r>
      <w:r w:rsidRPr="00E55C4C">
        <w:rPr>
          <w:rFonts w:ascii="Century Gothic" w:hAnsi="Century Gothic" w:cs="Arial"/>
          <w:snapToGrid w:val="0"/>
          <w:sz w:val="22"/>
        </w:rPr>
        <w:t xml:space="preserve"> </w:t>
      </w:r>
      <w:r w:rsidR="00402D66" w:rsidRPr="00E55C4C">
        <w:rPr>
          <w:rFonts w:ascii="Century Gothic" w:hAnsi="Century Gothic" w:cs="Arial"/>
          <w:snapToGrid w:val="0"/>
          <w:sz w:val="22"/>
        </w:rPr>
        <w:t>may choose</w:t>
      </w:r>
      <w:r w:rsidR="001B318C" w:rsidRPr="00E55C4C">
        <w:rPr>
          <w:rFonts w:ascii="Century Gothic" w:hAnsi="Century Gothic" w:cs="Arial"/>
          <w:snapToGrid w:val="0"/>
          <w:sz w:val="22"/>
        </w:rPr>
        <w:t xml:space="preserve"> to cease providing the Service at the end of this notice period without incurring a penalty.</w:t>
      </w:r>
      <w:r w:rsidR="00D50322" w:rsidRPr="00E55C4C">
        <w:rPr>
          <w:rFonts w:ascii="Century Gothic" w:hAnsi="Century Gothic" w:cs="Arial"/>
          <w:sz w:val="22"/>
        </w:rPr>
        <w:t xml:space="preserve"> </w:t>
      </w:r>
      <w:r w:rsidR="00986737" w:rsidRPr="00E55C4C">
        <w:rPr>
          <w:rFonts w:ascii="Century Gothic" w:hAnsi="Century Gothic" w:cs="Arial"/>
          <w:sz w:val="22"/>
        </w:rPr>
        <w:t>Waythrough</w:t>
      </w:r>
      <w:r w:rsidR="00D50322" w:rsidRPr="00E55C4C">
        <w:rPr>
          <w:rFonts w:ascii="Century Gothic" w:hAnsi="Century Gothic" w:cs="Arial"/>
          <w:sz w:val="22"/>
        </w:rPr>
        <w:t xml:space="preserve"> also has the option to terminate funding should the Pharmacy</w:t>
      </w:r>
      <w:r w:rsidR="00D50322" w:rsidRPr="00E55C4C">
        <w:rPr>
          <w:rFonts w:ascii="Century Gothic" w:hAnsi="Century Gothic" w:cs="Arial"/>
          <w:snapToGrid w:val="0"/>
          <w:sz w:val="22"/>
        </w:rPr>
        <w:t xml:space="preserve"> enter receivership or become insolvent.</w:t>
      </w:r>
    </w:p>
    <w:p w14:paraId="76F63894" w14:textId="620EA264"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eastAsia="Arial" w:hAnsi="Century Gothic" w:cs="Arial"/>
          <w:sz w:val="22"/>
        </w:rPr>
        <w:t xml:space="preserve">To enable payment, the Responsible Pharmacist assigned to the Pharmacy must complete the relevant </w:t>
      </w:r>
      <w:proofErr w:type="spellStart"/>
      <w:r w:rsidRPr="00E55C4C">
        <w:rPr>
          <w:rFonts w:ascii="Century Gothic" w:eastAsia="Arial" w:hAnsi="Century Gothic" w:cs="Arial"/>
          <w:sz w:val="22"/>
        </w:rPr>
        <w:t>PharmOutcomes</w:t>
      </w:r>
      <w:proofErr w:type="spellEnd"/>
      <w:r w:rsidRPr="00E55C4C">
        <w:rPr>
          <w:rFonts w:ascii="Century Gothic" w:eastAsia="Arial" w:hAnsi="Century Gothic" w:cs="Arial"/>
          <w:sz w:val="22"/>
        </w:rPr>
        <w:t xml:space="preserve"> </w:t>
      </w:r>
      <w:r w:rsidR="0020079F" w:rsidRPr="00E55C4C">
        <w:rPr>
          <w:rFonts w:ascii="Century Gothic" w:eastAsia="Arial" w:hAnsi="Century Gothic" w:cs="Arial"/>
          <w:sz w:val="22"/>
        </w:rPr>
        <w:t xml:space="preserve">ENAP/ THN </w:t>
      </w:r>
      <w:r w:rsidRPr="00E55C4C">
        <w:rPr>
          <w:rFonts w:ascii="Century Gothic" w:eastAsia="Arial" w:hAnsi="Century Gothic" w:cs="Arial"/>
          <w:sz w:val="22"/>
        </w:rPr>
        <w:t>sign</w:t>
      </w:r>
      <w:r w:rsidR="0020079F" w:rsidRPr="00E55C4C">
        <w:rPr>
          <w:rFonts w:ascii="Century Gothic" w:eastAsia="Arial" w:hAnsi="Century Gothic" w:cs="Arial"/>
          <w:sz w:val="22"/>
        </w:rPr>
        <w:t xml:space="preserve"> </w:t>
      </w:r>
      <w:r w:rsidRPr="00E55C4C">
        <w:rPr>
          <w:rFonts w:ascii="Century Gothic" w:eastAsia="Arial" w:hAnsi="Century Gothic" w:cs="Arial"/>
          <w:sz w:val="22"/>
        </w:rPr>
        <w:t xml:space="preserve">up module. The Pharmacy is responsible for subsequently ensuring that </w:t>
      </w:r>
      <w:r w:rsidR="00986737" w:rsidRPr="00E55C4C">
        <w:rPr>
          <w:rFonts w:ascii="Century Gothic" w:eastAsia="Arial" w:hAnsi="Century Gothic" w:cs="Arial"/>
          <w:sz w:val="22"/>
        </w:rPr>
        <w:t>Waythrough</w:t>
      </w:r>
      <w:r w:rsidRPr="00E55C4C">
        <w:rPr>
          <w:rFonts w:ascii="Century Gothic" w:eastAsia="Arial" w:hAnsi="Century Gothic" w:cs="Arial"/>
          <w:sz w:val="22"/>
        </w:rPr>
        <w:t xml:space="preserve"> are provided with the correct Pharmacy bank details to complete the enrolment process.</w:t>
      </w:r>
    </w:p>
    <w:p w14:paraId="648C11BE" w14:textId="3FEB6935" w:rsidR="009E2A07"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w:t>
      </w:r>
      <w:r w:rsidR="00D50322" w:rsidRPr="00E55C4C">
        <w:rPr>
          <w:rFonts w:ascii="Century Gothic" w:hAnsi="Century Gothic" w:cs="Arial"/>
          <w:sz w:val="22"/>
        </w:rPr>
        <w:t>make payment to</w:t>
      </w:r>
      <w:r w:rsidR="001B318C" w:rsidRPr="00E55C4C">
        <w:rPr>
          <w:rFonts w:ascii="Century Gothic" w:hAnsi="Century Gothic" w:cs="Arial"/>
          <w:sz w:val="22"/>
        </w:rPr>
        <w:t xml:space="preserve"> the Pharmacy within</w:t>
      </w:r>
      <w:r w:rsidR="001B318C" w:rsidRPr="00E55C4C">
        <w:rPr>
          <w:rFonts w:ascii="Century Gothic" w:hAnsi="Century Gothic" w:cs="Arial"/>
          <w:snapToGrid w:val="0"/>
          <w:sz w:val="22"/>
        </w:rPr>
        <w:t xml:space="preserve"> 30 days</w:t>
      </w:r>
      <w:r w:rsidR="001B318C" w:rsidRPr="00E55C4C">
        <w:rPr>
          <w:rFonts w:ascii="Century Gothic" w:hAnsi="Century Gothic" w:cs="Arial"/>
          <w:snapToGrid w:val="0"/>
          <w:color w:val="FF0000"/>
          <w:sz w:val="22"/>
        </w:rPr>
        <w:t xml:space="preserve"> </w:t>
      </w:r>
      <w:r w:rsidR="001B318C" w:rsidRPr="00E55C4C">
        <w:rPr>
          <w:rFonts w:ascii="Century Gothic" w:hAnsi="Century Gothic" w:cs="Arial"/>
          <w:snapToGrid w:val="0"/>
          <w:sz w:val="22"/>
        </w:rPr>
        <w:t xml:space="preserve">in arrears upon receipt of an invoice received via </w:t>
      </w:r>
      <w:proofErr w:type="spellStart"/>
      <w:r w:rsidR="001B318C" w:rsidRPr="00E55C4C">
        <w:rPr>
          <w:rFonts w:ascii="Century Gothic" w:hAnsi="Century Gothic" w:cs="Arial"/>
          <w:snapToGrid w:val="0"/>
          <w:sz w:val="22"/>
        </w:rPr>
        <w:t>PharmOutcomes</w:t>
      </w:r>
      <w:proofErr w:type="spellEnd"/>
      <w:r w:rsidR="001B318C" w:rsidRPr="00E55C4C">
        <w:rPr>
          <w:rFonts w:ascii="Century Gothic" w:hAnsi="Century Gothic" w:cs="Arial"/>
          <w:sz w:val="22"/>
        </w:rPr>
        <w:t>.</w:t>
      </w:r>
      <w:r w:rsidR="00897CAB" w:rsidRPr="00E55C4C">
        <w:rPr>
          <w:rFonts w:ascii="Century Gothic" w:hAnsi="Century Gothic" w:cs="Arial"/>
          <w:sz w:val="22"/>
        </w:rPr>
        <w:t xml:space="preserve"> </w:t>
      </w:r>
      <w:r w:rsidR="00A1611D" w:rsidRPr="00E55C4C">
        <w:rPr>
          <w:rFonts w:ascii="Century Gothic" w:hAnsi="Century Gothic" w:cs="Arial"/>
          <w:sz w:val="22"/>
        </w:rPr>
        <w:t xml:space="preserve"> </w:t>
      </w:r>
    </w:p>
    <w:p w14:paraId="02B5AD96" w14:textId="77777777"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No payment will be made if the invoice covers activity that was undertaken more than 3 months prior to the date of the invoice being submitted.</w:t>
      </w:r>
    </w:p>
    <w:p w14:paraId="5BB07ACE" w14:textId="58DBB441" w:rsidR="009E2A07" w:rsidRPr="00E55C4C" w:rsidRDefault="00986737"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examine the data submitted and may seek to verify the </w:t>
      </w:r>
      <w:r w:rsidR="003812E0" w:rsidRPr="00E55C4C">
        <w:rPr>
          <w:rFonts w:ascii="Century Gothic" w:hAnsi="Century Gothic" w:cs="Arial"/>
          <w:sz w:val="22"/>
        </w:rPr>
        <w:t>f</w:t>
      </w:r>
      <w:r w:rsidR="001B318C" w:rsidRPr="00E55C4C">
        <w:rPr>
          <w:rFonts w:ascii="Century Gothic" w:hAnsi="Century Gothic" w:cs="Arial"/>
          <w:sz w:val="22"/>
        </w:rPr>
        <w:t>ees claimed.</w:t>
      </w:r>
    </w:p>
    <w:p w14:paraId="649ECD0D" w14:textId="11B72EC2"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 xml:space="preserve">Payments will only be made where </w:t>
      </w:r>
      <w:r w:rsidR="00986737" w:rsidRPr="00E55C4C">
        <w:rPr>
          <w:rFonts w:ascii="Century Gothic" w:hAnsi="Century Gothic" w:cs="Arial"/>
          <w:snapToGrid w:val="0"/>
          <w:sz w:val="22"/>
        </w:rPr>
        <w:t>Waythrough</w:t>
      </w:r>
      <w:r w:rsidRPr="00E55C4C">
        <w:rPr>
          <w:rFonts w:ascii="Century Gothic" w:hAnsi="Century Gothic" w:cs="Arial"/>
          <w:snapToGrid w:val="0"/>
          <w:sz w:val="22"/>
        </w:rPr>
        <w:t xml:space="preserve"> is satisfied that the Service has been provided in accordance with the terms of this Agreement.</w:t>
      </w:r>
      <w:r w:rsidRPr="00E55C4C">
        <w:rPr>
          <w:rFonts w:ascii="Century Gothic" w:hAnsi="Century Gothic" w:cs="Arial"/>
          <w:sz w:val="22"/>
        </w:rPr>
        <w:t xml:space="preserve"> </w:t>
      </w:r>
      <w:r w:rsidR="00986737" w:rsidRPr="00E55C4C">
        <w:rPr>
          <w:rFonts w:ascii="Century Gothic" w:hAnsi="Century Gothic" w:cs="Arial"/>
          <w:sz w:val="22"/>
        </w:rPr>
        <w:t>Waythrough</w:t>
      </w:r>
      <w:r w:rsidRPr="00E55C4C">
        <w:rPr>
          <w:rFonts w:ascii="Century Gothic" w:hAnsi="Century Gothic" w:cs="Arial"/>
          <w:sz w:val="22"/>
        </w:rPr>
        <w:t xml:space="preserve"> </w:t>
      </w:r>
      <w:r w:rsidRPr="00E55C4C">
        <w:rPr>
          <w:rFonts w:ascii="Century Gothic" w:hAnsi="Century Gothic" w:cs="Arial"/>
          <w:snapToGrid w:val="0"/>
          <w:sz w:val="22"/>
        </w:rPr>
        <w:t xml:space="preserve">shall be entitled to suspend payment and/or vary the amount of the payment if it considers the Pharmacy has committed a serious breach of the Agreement and shall forthwith notify the Pharmacy in writing accordingly. Once all relevant investigations are complete and if deemed appropriate, </w:t>
      </w:r>
      <w:r w:rsidRPr="00E55C4C">
        <w:rPr>
          <w:rFonts w:ascii="Century Gothic" w:hAnsi="Century Gothic" w:cs="Arial"/>
          <w:sz w:val="22"/>
        </w:rPr>
        <w:t xml:space="preserve">within 30 days </w:t>
      </w:r>
      <w:r w:rsidR="00986737" w:rsidRPr="00E55C4C">
        <w:rPr>
          <w:rFonts w:ascii="Century Gothic" w:hAnsi="Century Gothic" w:cs="Arial"/>
          <w:sz w:val="22"/>
        </w:rPr>
        <w:t>Waythrough</w:t>
      </w:r>
      <w:r w:rsidRPr="00E55C4C">
        <w:rPr>
          <w:rFonts w:ascii="Century Gothic" w:hAnsi="Century Gothic" w:cs="Arial"/>
          <w:sz w:val="22"/>
        </w:rPr>
        <w:t xml:space="preserve"> will pay any sums to the Pharmacy that were suspended or varied.</w:t>
      </w:r>
    </w:p>
    <w:p w14:paraId="1D5D83D0" w14:textId="24651151" w:rsidR="009E2A07" w:rsidRPr="00E55C4C" w:rsidRDefault="00986737" w:rsidP="19E6FD0C">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Waythrough</w:t>
      </w:r>
      <w:r w:rsidR="001B318C" w:rsidRPr="00E55C4C">
        <w:rPr>
          <w:rFonts w:ascii="Century Gothic" w:hAnsi="Century Gothic" w:cs="Arial"/>
          <w:sz w:val="22"/>
        </w:rPr>
        <w:t xml:space="preserve"> may from time to time, require reasonable changes to the terms of this Agreement, and </w:t>
      </w:r>
      <w:proofErr w:type="gramStart"/>
      <w:r w:rsidR="001B318C" w:rsidRPr="00E55C4C">
        <w:rPr>
          <w:rFonts w:ascii="Century Gothic" w:hAnsi="Century Gothic" w:cs="Arial"/>
          <w:sz w:val="22"/>
        </w:rPr>
        <w:t>where</w:t>
      </w:r>
      <w:proofErr w:type="gramEnd"/>
      <w:r w:rsidR="001B318C" w:rsidRPr="00E55C4C">
        <w:rPr>
          <w:rFonts w:ascii="Century Gothic" w:hAnsi="Century Gothic" w:cs="Arial"/>
          <w:sz w:val="22"/>
        </w:rPr>
        <w:t xml:space="preserve"> reasonably practicable, up to</w:t>
      </w:r>
      <w:r w:rsidR="003812E0" w:rsidRPr="00E55C4C">
        <w:rPr>
          <w:rFonts w:ascii="Century Gothic" w:hAnsi="Century Gothic" w:cs="Arial"/>
          <w:sz w:val="22"/>
        </w:rPr>
        <w:t xml:space="preserve"> </w:t>
      </w:r>
      <w:r w:rsidR="001B318C" w:rsidRPr="00E55C4C">
        <w:rPr>
          <w:rFonts w:ascii="Century Gothic" w:hAnsi="Century Gothic" w:cs="Arial"/>
          <w:sz w:val="22"/>
        </w:rPr>
        <w:t xml:space="preserve">14 days' notice will be given. Once </w:t>
      </w:r>
      <w:r w:rsidR="00B3203F" w:rsidRPr="00E55C4C">
        <w:rPr>
          <w:rFonts w:ascii="Century Gothic" w:hAnsi="Century Gothic" w:cs="Arial"/>
          <w:sz w:val="22"/>
        </w:rPr>
        <w:t>agree</w:t>
      </w:r>
      <w:r w:rsidR="00AF310F" w:rsidRPr="00E55C4C">
        <w:rPr>
          <w:rFonts w:ascii="Century Gothic" w:hAnsi="Century Gothic" w:cs="Arial"/>
          <w:sz w:val="22"/>
        </w:rPr>
        <w:t>d,</w:t>
      </w:r>
      <w:r w:rsidR="001B318C" w:rsidRPr="00E55C4C">
        <w:rPr>
          <w:rFonts w:ascii="Century Gothic" w:hAnsi="Century Gothic" w:cs="Arial"/>
          <w:sz w:val="22"/>
        </w:rPr>
        <w:t xml:space="preserve"> Pharmacy shall use its reasonable endeavours to implement this change on the understanding that such change will not materially affect the nature of the Service or the Pharmacy’s ability to provide the Service. </w:t>
      </w:r>
    </w:p>
    <w:p w14:paraId="66E3B14D" w14:textId="02CF475F"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 xml:space="preserve">The Service must be offered every day that the Pharmacy is open. If the Pharmacy put in an application to reduce their opening days or times, then </w:t>
      </w:r>
      <w:r w:rsidR="00986737" w:rsidRPr="00E55C4C">
        <w:rPr>
          <w:rFonts w:ascii="Century Gothic" w:hAnsi="Century Gothic" w:cs="Arial"/>
          <w:sz w:val="22"/>
        </w:rPr>
        <w:t>Waythrough</w:t>
      </w:r>
      <w:r w:rsidRPr="00E55C4C">
        <w:rPr>
          <w:rFonts w:ascii="Century Gothic" w:hAnsi="Century Gothic" w:cs="Arial"/>
          <w:sz w:val="22"/>
        </w:rPr>
        <w:t xml:space="preserve"> </w:t>
      </w:r>
      <w:r w:rsidR="007777D0" w:rsidRPr="00E55C4C">
        <w:rPr>
          <w:rFonts w:ascii="Century Gothic" w:hAnsi="Century Gothic" w:cs="Arial"/>
          <w:sz w:val="22"/>
        </w:rPr>
        <w:t>should</w:t>
      </w:r>
      <w:r w:rsidRPr="00E55C4C">
        <w:rPr>
          <w:rFonts w:ascii="Century Gothic" w:hAnsi="Century Gothic" w:cs="Arial"/>
          <w:sz w:val="22"/>
        </w:rPr>
        <w:t xml:space="preserve"> be informed</w:t>
      </w:r>
      <w:r w:rsidR="007777D0" w:rsidRPr="00E55C4C">
        <w:rPr>
          <w:rFonts w:ascii="Century Gothic" w:hAnsi="Century Gothic" w:cs="Arial"/>
          <w:sz w:val="22"/>
        </w:rPr>
        <w:t xml:space="preserve"> </w:t>
      </w:r>
      <w:r w:rsidRPr="00E55C4C">
        <w:rPr>
          <w:rFonts w:ascii="Century Gothic" w:hAnsi="Century Gothic" w:cs="Arial"/>
          <w:sz w:val="22"/>
        </w:rPr>
        <w:t>at the time of application</w:t>
      </w:r>
      <w:r w:rsidR="007777D0" w:rsidRPr="00E55C4C">
        <w:rPr>
          <w:rFonts w:ascii="Century Gothic" w:hAnsi="Century Gothic" w:cs="Arial"/>
          <w:sz w:val="22"/>
        </w:rPr>
        <w:t xml:space="preserve"> and must be promptly told </w:t>
      </w:r>
      <w:r w:rsidR="006C03AA" w:rsidRPr="00E55C4C">
        <w:rPr>
          <w:rFonts w:ascii="Century Gothic" w:hAnsi="Century Gothic" w:cs="Arial"/>
          <w:sz w:val="22"/>
        </w:rPr>
        <w:t>if it is subsequently granted</w:t>
      </w:r>
      <w:r w:rsidRPr="00E55C4C">
        <w:rPr>
          <w:rFonts w:ascii="Century Gothic" w:hAnsi="Century Gothic" w:cs="Arial"/>
          <w:sz w:val="22"/>
        </w:rPr>
        <w:t>.</w:t>
      </w:r>
    </w:p>
    <w:p w14:paraId="5388D51C" w14:textId="612385F3"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Notices must be given in writing via email (with acknowledged receipt)</w:t>
      </w:r>
      <w:r w:rsidR="00E22775" w:rsidRPr="00E55C4C">
        <w:rPr>
          <w:rFonts w:ascii="Century Gothic" w:hAnsi="Century Gothic" w:cs="Arial"/>
          <w:snapToGrid w:val="0"/>
          <w:sz w:val="22"/>
        </w:rPr>
        <w:t xml:space="preserve">. </w:t>
      </w:r>
    </w:p>
    <w:p w14:paraId="32048BBF" w14:textId="77777777" w:rsidR="009E2A07"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napToGrid w:val="0"/>
          <w:sz w:val="22"/>
        </w:rPr>
        <w:t>This Agreement will be reviewed and subject to agreement, renewed on an annual basis. However, it may be ended earlier, either on dissolution of the Pharmacy or where at least 60 days’ notice is given by either Party of their intention to terminate the Agreement.</w:t>
      </w:r>
    </w:p>
    <w:p w14:paraId="2E07D718" w14:textId="11602F55" w:rsidR="001B318C" w:rsidRPr="00E55C4C" w:rsidRDefault="001B318C" w:rsidP="002D046D">
      <w:pPr>
        <w:pStyle w:val="ListParagraph"/>
        <w:numPr>
          <w:ilvl w:val="1"/>
          <w:numId w:val="9"/>
        </w:numPr>
        <w:spacing w:before="0"/>
        <w:ind w:left="567" w:hanging="567"/>
        <w:rPr>
          <w:rFonts w:ascii="Century Gothic" w:hAnsi="Century Gothic" w:cs="Arial"/>
          <w:sz w:val="22"/>
        </w:rPr>
      </w:pPr>
      <w:r w:rsidRPr="00E55C4C">
        <w:rPr>
          <w:rFonts w:ascii="Century Gothic" w:hAnsi="Century Gothic" w:cs="Arial"/>
          <w:sz w:val="22"/>
        </w:rPr>
        <w:t>Nothing in this Agreement confers or purports to confer on any third party any benefit or any right to enforce any term of this Agreement.</w:t>
      </w:r>
    </w:p>
    <w:p w14:paraId="7DD3792D" w14:textId="77777777" w:rsidR="001B318C" w:rsidRPr="00E55C4C" w:rsidRDefault="001B318C" w:rsidP="001B318C">
      <w:pPr>
        <w:spacing w:before="0"/>
        <w:rPr>
          <w:rFonts w:ascii="Century Gothic" w:hAnsi="Century Gothic" w:cs="Arial"/>
          <w:sz w:val="22"/>
        </w:rPr>
      </w:pPr>
    </w:p>
    <w:p w14:paraId="34DC9BCC" w14:textId="77777777" w:rsidR="001B318C" w:rsidRPr="00E55C4C" w:rsidRDefault="001B318C"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Competency and Training</w:t>
      </w:r>
    </w:p>
    <w:p w14:paraId="53C5427D" w14:textId="5E32B9F6" w:rsidR="00544285"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This Service may only be undertaken by competent Pharmacy staff </w:t>
      </w:r>
      <w:r w:rsidR="004306CA" w:rsidRPr="00E55C4C">
        <w:rPr>
          <w:rFonts w:ascii="Century Gothic" w:hAnsi="Century Gothic" w:cs="Arial"/>
          <w:sz w:val="22"/>
        </w:rPr>
        <w:t>and</w:t>
      </w:r>
      <w:r w:rsidRPr="00E55C4C">
        <w:rPr>
          <w:rFonts w:ascii="Century Gothic" w:hAnsi="Century Gothic" w:cs="Arial"/>
          <w:sz w:val="22"/>
        </w:rPr>
        <w:t xml:space="preserve"> under the supervision of the Responsible Pharmacist registered with the GPhC.</w:t>
      </w:r>
    </w:p>
    <w:p w14:paraId="79113B06" w14:textId="6214AAEB" w:rsidR="00544285" w:rsidRPr="00E55C4C" w:rsidRDefault="005418F9" w:rsidP="3B12B958">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Pharmacy staff</w:t>
      </w:r>
      <w:r w:rsidR="00B75CEE" w:rsidRPr="00E55C4C">
        <w:rPr>
          <w:rFonts w:ascii="Century Gothic" w:hAnsi="Century Gothic" w:cs="Arial"/>
          <w:sz w:val="22"/>
        </w:rPr>
        <w:t xml:space="preserve"> must be </w:t>
      </w:r>
      <w:r w:rsidR="00680E7A" w:rsidRPr="00E55C4C">
        <w:rPr>
          <w:rFonts w:ascii="Century Gothic" w:hAnsi="Century Gothic" w:cs="Arial"/>
          <w:sz w:val="22"/>
        </w:rPr>
        <w:t>trained,</w:t>
      </w:r>
      <w:r w:rsidR="00B75CEE" w:rsidRPr="00E55C4C">
        <w:rPr>
          <w:rFonts w:ascii="Century Gothic" w:hAnsi="Century Gothic" w:cs="Arial"/>
          <w:sz w:val="22"/>
        </w:rPr>
        <w:t xml:space="preserve"> and </w:t>
      </w:r>
      <w:r w:rsidR="0040149E" w:rsidRPr="00E55C4C">
        <w:rPr>
          <w:rFonts w:ascii="Century Gothic" w:hAnsi="Century Gothic" w:cs="Arial"/>
          <w:sz w:val="22"/>
        </w:rPr>
        <w:t xml:space="preserve">competencies will be assessed. </w:t>
      </w:r>
      <w:r w:rsidR="00B534AB" w:rsidRPr="00E55C4C">
        <w:rPr>
          <w:rFonts w:ascii="Century Gothic" w:hAnsi="Century Gothic" w:cs="Arial"/>
          <w:sz w:val="22"/>
        </w:rPr>
        <w:t>Competency assessment (‘</w:t>
      </w:r>
      <w:hyperlink w:anchor="_Appendix_A:_Pharmacy">
        <w:r w:rsidR="00B75CEE" w:rsidRPr="00E55C4C">
          <w:rPr>
            <w:rStyle w:val="Hyperlink"/>
            <w:rFonts w:ascii="Century Gothic" w:hAnsi="Century Gothic" w:cs="Arial"/>
            <w:i/>
            <w:iCs/>
            <w:sz w:val="22"/>
          </w:rPr>
          <w:t xml:space="preserve">Appendix A </w:t>
        </w:r>
        <w:r w:rsidR="00704D3D">
          <w:rPr>
            <w:rStyle w:val="Hyperlink"/>
            <w:rFonts w:ascii="Century Gothic" w:hAnsi="Century Gothic" w:cs="Arial"/>
            <w:i/>
            <w:iCs/>
            <w:sz w:val="22"/>
          </w:rPr>
          <w:t xml:space="preserve">Community </w:t>
        </w:r>
        <w:proofErr w:type="gramStart"/>
        <w:r w:rsidR="00704D3D">
          <w:rPr>
            <w:rStyle w:val="Hyperlink"/>
            <w:rFonts w:ascii="Century Gothic" w:hAnsi="Century Gothic" w:cs="Arial"/>
            <w:i/>
            <w:iCs/>
            <w:sz w:val="22"/>
          </w:rPr>
          <w:t xml:space="preserve">Pharmacy </w:t>
        </w:r>
        <w:r w:rsidR="00B75CEE" w:rsidRPr="00E55C4C">
          <w:rPr>
            <w:rStyle w:val="Hyperlink"/>
            <w:rFonts w:ascii="Century Gothic" w:hAnsi="Century Gothic" w:cs="Arial"/>
            <w:i/>
            <w:iCs/>
            <w:sz w:val="22"/>
          </w:rPr>
          <w:t xml:space="preserve"> Competency</w:t>
        </w:r>
        <w:proofErr w:type="gramEnd"/>
        <w:r w:rsidR="00B75CEE" w:rsidRPr="00E55C4C">
          <w:rPr>
            <w:rStyle w:val="Hyperlink"/>
            <w:rFonts w:ascii="Century Gothic" w:hAnsi="Century Gothic" w:cs="Arial"/>
            <w:i/>
            <w:iCs/>
            <w:sz w:val="22"/>
          </w:rPr>
          <w:t xml:space="preserve"> </w:t>
        </w:r>
        <w:proofErr w:type="gramStart"/>
        <w:r w:rsidR="00B75CEE" w:rsidRPr="00E55C4C">
          <w:rPr>
            <w:rStyle w:val="Hyperlink"/>
            <w:rFonts w:ascii="Century Gothic" w:hAnsi="Century Gothic" w:cs="Arial"/>
            <w:i/>
            <w:iCs/>
            <w:sz w:val="22"/>
          </w:rPr>
          <w:t>Assessment  Form</w:t>
        </w:r>
        <w:proofErr w:type="gramEnd"/>
        <w:r w:rsidR="00B75CEE" w:rsidRPr="00E55C4C">
          <w:rPr>
            <w:rStyle w:val="Hyperlink"/>
            <w:rFonts w:ascii="Century Gothic" w:hAnsi="Century Gothic" w:cs="Arial"/>
            <w:i/>
            <w:iCs/>
            <w:sz w:val="22"/>
          </w:rPr>
          <w:t>’</w:t>
        </w:r>
      </w:hyperlink>
      <w:r w:rsidR="00B534AB" w:rsidRPr="00E55C4C">
        <w:rPr>
          <w:rFonts w:ascii="Century Gothic" w:hAnsi="Century Gothic"/>
        </w:rPr>
        <w:t xml:space="preserve">) </w:t>
      </w:r>
      <w:r w:rsidR="00B534AB" w:rsidRPr="00E55C4C">
        <w:rPr>
          <w:rFonts w:ascii="Century Gothic" w:hAnsi="Century Gothic" w:cs="Arial"/>
          <w:sz w:val="22"/>
        </w:rPr>
        <w:t>will be issued up</w:t>
      </w:r>
      <w:r w:rsidR="002D09B3" w:rsidRPr="00E55C4C">
        <w:rPr>
          <w:rFonts w:ascii="Century Gothic" w:hAnsi="Century Gothic" w:cs="Arial"/>
          <w:sz w:val="22"/>
        </w:rPr>
        <w:t xml:space="preserve">on </w:t>
      </w:r>
      <w:r w:rsidR="00680E7A" w:rsidRPr="00E55C4C">
        <w:rPr>
          <w:rFonts w:ascii="Century Gothic" w:hAnsi="Century Gothic" w:cs="Arial"/>
          <w:sz w:val="22"/>
        </w:rPr>
        <w:t xml:space="preserve">or alternative while completing training available online on </w:t>
      </w:r>
      <w:r w:rsidR="00AA1C4A" w:rsidRPr="00E55C4C">
        <w:rPr>
          <w:rFonts w:ascii="Century Gothic" w:hAnsi="Century Gothic" w:cs="Arial"/>
          <w:sz w:val="22"/>
        </w:rPr>
        <w:t>Waythrough website</w:t>
      </w:r>
      <w:r w:rsidR="002D09B3" w:rsidRPr="00E55C4C">
        <w:rPr>
          <w:rFonts w:ascii="Century Gothic" w:hAnsi="Century Gothic" w:cs="Arial"/>
          <w:sz w:val="22"/>
        </w:rPr>
        <w:t xml:space="preserve">. </w:t>
      </w:r>
      <w:r w:rsidRPr="00E55C4C">
        <w:rPr>
          <w:rFonts w:ascii="Century Gothic" w:hAnsi="Century Gothic" w:cs="Arial"/>
          <w:sz w:val="22"/>
        </w:rPr>
        <w:t xml:space="preserve">This form may also be used to record supplies given to Pharmacy Staff for their personal issue. </w:t>
      </w:r>
    </w:p>
    <w:p w14:paraId="6F13388D" w14:textId="78C07BC3"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The assessor must ensure that the trainee has met </w:t>
      </w:r>
      <w:r w:rsidR="00287360" w:rsidRPr="00E55C4C">
        <w:rPr>
          <w:rFonts w:ascii="Century Gothic" w:hAnsi="Century Gothic" w:cs="Arial"/>
          <w:sz w:val="22"/>
        </w:rPr>
        <w:t>all</w:t>
      </w:r>
      <w:r w:rsidRPr="00E55C4C">
        <w:rPr>
          <w:rFonts w:ascii="Century Gothic" w:hAnsi="Century Gothic" w:cs="Arial"/>
          <w:sz w:val="22"/>
        </w:rPr>
        <w:t xml:space="preserve"> the listed criteria and fully understands all requirements before signing to confirm their competence.</w:t>
      </w:r>
    </w:p>
    <w:p w14:paraId="07B5A678" w14:textId="77777777"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Training may be provided either individually or in groups.</w:t>
      </w:r>
    </w:p>
    <w:p w14:paraId="4D44C377" w14:textId="77777777"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Training may be provided remotely, and information conveyed e.g. in writing/via remote consultation via any suitable medium, so long as the trainer has been provided with assurances that the person can demonstrate the required competencies.</w:t>
      </w:r>
    </w:p>
    <w:p w14:paraId="2C70927C" w14:textId="5618C9C5" w:rsidR="00544285"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Only placebo packs may be used for the purposes of training. They </w:t>
      </w:r>
      <w:r w:rsidR="000F32AB" w:rsidRPr="00E55C4C">
        <w:rPr>
          <w:rFonts w:ascii="Century Gothic" w:hAnsi="Century Gothic" w:cs="Arial"/>
          <w:sz w:val="22"/>
        </w:rPr>
        <w:t xml:space="preserve">will be sourced for pharmacies taking part directly from the manufacturer. </w:t>
      </w:r>
    </w:p>
    <w:p w14:paraId="60B80504" w14:textId="76797453" w:rsidR="00B75CEE" w:rsidRPr="00E55C4C" w:rsidRDefault="00B75CEE"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Additional resources for training include: </w:t>
      </w:r>
    </w:p>
    <w:p w14:paraId="55A32D60" w14:textId="77777777" w:rsidR="00B35075" w:rsidRPr="00E55C4C" w:rsidRDefault="00B75CEE" w:rsidP="001C1D57">
      <w:pPr>
        <w:pStyle w:val="ListParagraph"/>
        <w:numPr>
          <w:ilvl w:val="0"/>
          <w:numId w:val="12"/>
        </w:numPr>
        <w:spacing w:before="0"/>
        <w:ind w:left="1134"/>
        <w:rPr>
          <w:rFonts w:ascii="Century Gothic" w:hAnsi="Century Gothic" w:cs="Arial"/>
          <w:sz w:val="22"/>
        </w:rPr>
      </w:pPr>
      <w:proofErr w:type="spellStart"/>
      <w:r w:rsidRPr="00E55C4C">
        <w:rPr>
          <w:rFonts w:ascii="Century Gothic" w:hAnsi="Century Gothic" w:cs="Arial"/>
          <w:sz w:val="22"/>
        </w:rPr>
        <w:t>Nyxoid</w:t>
      </w:r>
      <w:proofErr w:type="spellEnd"/>
      <w:r w:rsidRPr="00E55C4C">
        <w:rPr>
          <w:rFonts w:ascii="Century Gothic" w:hAnsi="Century Gothic" w:cs="Arial"/>
          <w:sz w:val="22"/>
        </w:rPr>
        <w:t>®:</w:t>
      </w:r>
    </w:p>
    <w:p w14:paraId="4CBF5B80" w14:textId="3184FAAF" w:rsidR="00B35075" w:rsidRPr="00E55C4C" w:rsidRDefault="00B35075" w:rsidP="00B35075">
      <w:pPr>
        <w:pStyle w:val="ListParagraph"/>
        <w:numPr>
          <w:ilvl w:val="1"/>
          <w:numId w:val="12"/>
        </w:numPr>
        <w:spacing w:before="0"/>
        <w:rPr>
          <w:rFonts w:ascii="Century Gothic" w:hAnsi="Century Gothic" w:cs="Arial"/>
          <w:sz w:val="22"/>
        </w:rPr>
      </w:pPr>
      <w:hyperlink r:id="rId17" w:history="1">
        <w:r w:rsidRPr="00E55C4C">
          <w:rPr>
            <w:rStyle w:val="Hyperlink"/>
            <w:rFonts w:ascii="Century Gothic" w:hAnsi="Century Gothic" w:cs="Arial"/>
            <w:sz w:val="22"/>
          </w:rPr>
          <w:t>https://www.medicines.org.uk/emc/product/9292/video</w:t>
        </w:r>
      </w:hyperlink>
    </w:p>
    <w:p w14:paraId="2BE6D535" w14:textId="0050A98B" w:rsidR="00B35075" w:rsidRPr="00E55C4C" w:rsidRDefault="00B35075" w:rsidP="00B35075">
      <w:pPr>
        <w:pStyle w:val="ListParagraph"/>
        <w:numPr>
          <w:ilvl w:val="1"/>
          <w:numId w:val="12"/>
        </w:numPr>
        <w:spacing w:before="0"/>
        <w:rPr>
          <w:rFonts w:ascii="Century Gothic" w:hAnsi="Century Gothic" w:cs="Arial"/>
          <w:sz w:val="22"/>
        </w:rPr>
      </w:pPr>
      <w:hyperlink r:id="rId18" w:history="1">
        <w:r w:rsidRPr="00E55C4C">
          <w:rPr>
            <w:rStyle w:val="Hyperlink"/>
            <w:rFonts w:ascii="Century Gothic" w:hAnsi="Century Gothic" w:cs="Arial"/>
            <w:sz w:val="22"/>
          </w:rPr>
          <w:t>https://www.medicines.org.uk/emc/product/9292/rmms</w:t>
        </w:r>
      </w:hyperlink>
    </w:p>
    <w:p w14:paraId="594331C1" w14:textId="0591FB22" w:rsidR="00B35075" w:rsidRPr="00E55C4C" w:rsidRDefault="00B35075" w:rsidP="00B35075">
      <w:pPr>
        <w:pStyle w:val="ListParagraph"/>
        <w:numPr>
          <w:ilvl w:val="1"/>
          <w:numId w:val="12"/>
        </w:numPr>
        <w:spacing w:before="0"/>
        <w:rPr>
          <w:rFonts w:ascii="Century Gothic" w:hAnsi="Century Gothic" w:cs="Arial"/>
          <w:sz w:val="22"/>
        </w:rPr>
      </w:pPr>
      <w:hyperlink r:id="rId19" w:history="1">
        <w:proofErr w:type="spellStart"/>
        <w:r w:rsidRPr="00E55C4C">
          <w:rPr>
            <w:rStyle w:val="Hyperlink"/>
            <w:rFonts w:ascii="Century Gothic" w:hAnsi="Century Gothic"/>
          </w:rPr>
          <w:t>Nyxoid</w:t>
        </w:r>
        <w:proofErr w:type="spellEnd"/>
        <w:r w:rsidRPr="00E55C4C">
          <w:rPr>
            <w:rStyle w:val="Hyperlink"/>
            <w:rFonts w:ascii="Century Gothic" w:hAnsi="Century Gothic"/>
          </w:rPr>
          <w:t xml:space="preserve"> | HCP | About</w:t>
        </w:r>
      </w:hyperlink>
    </w:p>
    <w:p w14:paraId="756A983C" w14:textId="77777777" w:rsidR="00CE038B" w:rsidRPr="00E55C4C" w:rsidRDefault="00F1488B" w:rsidP="00F1488B">
      <w:pPr>
        <w:pStyle w:val="ListParagraph"/>
        <w:numPr>
          <w:ilvl w:val="0"/>
          <w:numId w:val="12"/>
        </w:numPr>
        <w:spacing w:before="0"/>
        <w:ind w:left="1134"/>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w:t>
      </w:r>
    </w:p>
    <w:p w14:paraId="19468EED" w14:textId="77777777" w:rsidR="00CE038B" w:rsidRPr="00E55C4C" w:rsidRDefault="00F1488B" w:rsidP="009254D5">
      <w:pPr>
        <w:pStyle w:val="ListParagraph"/>
        <w:numPr>
          <w:ilvl w:val="0"/>
          <w:numId w:val="12"/>
        </w:numPr>
        <w:spacing w:before="0"/>
        <w:ind w:left="1418"/>
        <w:rPr>
          <w:rFonts w:ascii="Century Gothic" w:hAnsi="Century Gothic" w:cs="Arial"/>
          <w:sz w:val="22"/>
        </w:rPr>
      </w:pPr>
      <w:hyperlink r:id="rId20" w:history="1">
        <w:r w:rsidRPr="00E55C4C">
          <w:rPr>
            <w:rStyle w:val="Hyperlink"/>
            <w:rFonts w:ascii="Century Gothic" w:hAnsi="Century Gothic" w:cs="Arial"/>
            <w:sz w:val="22"/>
          </w:rPr>
          <w:t>http://www.prenoxadinjection.com/downloads/clients_guide.pdf</w:t>
        </w:r>
      </w:hyperlink>
    </w:p>
    <w:p w14:paraId="06FB13FE" w14:textId="19F668FB" w:rsidR="00CE038B" w:rsidRPr="00E55C4C" w:rsidRDefault="00CE038B" w:rsidP="009254D5">
      <w:pPr>
        <w:pStyle w:val="ListParagraph"/>
        <w:numPr>
          <w:ilvl w:val="0"/>
          <w:numId w:val="12"/>
        </w:numPr>
        <w:spacing w:before="0"/>
        <w:ind w:left="1418"/>
        <w:rPr>
          <w:rFonts w:ascii="Century Gothic" w:hAnsi="Century Gothic" w:cs="Arial"/>
          <w:sz w:val="22"/>
        </w:rPr>
      </w:pPr>
      <w:hyperlink r:id="rId21" w:anchor="gref" w:history="1">
        <w:r w:rsidRPr="00E55C4C">
          <w:rPr>
            <w:rStyle w:val="Hyperlink"/>
            <w:rFonts w:ascii="Century Gothic" w:hAnsi="Century Gothic" w:cs="Arial"/>
            <w:sz w:val="22"/>
          </w:rPr>
          <w:t>https://www.medicines.org.uk/emc/product/3054/smpc#gref</w:t>
        </w:r>
      </w:hyperlink>
      <w:r w:rsidRPr="00E55C4C">
        <w:rPr>
          <w:rFonts w:ascii="Century Gothic" w:hAnsi="Century Gothic" w:cs="Arial"/>
          <w:sz w:val="22"/>
        </w:rPr>
        <w:t xml:space="preserve"> </w:t>
      </w:r>
    </w:p>
    <w:p w14:paraId="42819FD9" w14:textId="77777777" w:rsidR="00CE038B" w:rsidRPr="00E55C4C" w:rsidRDefault="00D52FB2" w:rsidP="00F1488B">
      <w:pPr>
        <w:pStyle w:val="ListParagraph"/>
        <w:numPr>
          <w:ilvl w:val="0"/>
          <w:numId w:val="12"/>
        </w:numPr>
        <w:spacing w:before="0"/>
        <w:ind w:left="1134"/>
        <w:rPr>
          <w:rFonts w:ascii="Century Gothic" w:hAnsi="Century Gothic" w:cs="Arial"/>
          <w:sz w:val="22"/>
        </w:rPr>
      </w:pPr>
      <w:r w:rsidRPr="00E55C4C">
        <w:rPr>
          <w:rFonts w:ascii="Century Gothic" w:hAnsi="Century Gothic"/>
        </w:rPr>
        <w:t>Naloxone 1.26mg nasal spray</w:t>
      </w:r>
    </w:p>
    <w:p w14:paraId="00E4D9CC" w14:textId="6DA3DDD1" w:rsidR="00D52FB2" w:rsidRPr="00E55C4C" w:rsidRDefault="00D52FB2" w:rsidP="009254D5">
      <w:pPr>
        <w:pStyle w:val="ListParagraph"/>
        <w:numPr>
          <w:ilvl w:val="0"/>
          <w:numId w:val="12"/>
        </w:numPr>
        <w:spacing w:before="0"/>
        <w:ind w:left="1418"/>
        <w:rPr>
          <w:rFonts w:ascii="Century Gothic" w:hAnsi="Century Gothic" w:cs="Arial"/>
          <w:sz w:val="22"/>
        </w:rPr>
      </w:pPr>
      <w:r w:rsidRPr="00E55C4C">
        <w:rPr>
          <w:rFonts w:ascii="Century Gothic" w:hAnsi="Century Gothic"/>
        </w:rPr>
        <w:t xml:space="preserve"> </w:t>
      </w:r>
      <w:hyperlink r:id="rId22" w:history="1">
        <w:r w:rsidRPr="00E55C4C">
          <w:rPr>
            <w:rStyle w:val="Hyperlink"/>
            <w:rFonts w:ascii="Century Gothic" w:hAnsi="Century Gothic"/>
          </w:rPr>
          <w:t>https://naloxone.uk/</w:t>
        </w:r>
      </w:hyperlink>
      <w:r w:rsidRPr="00E55C4C">
        <w:rPr>
          <w:rFonts w:ascii="Century Gothic" w:hAnsi="Century Gothic"/>
        </w:rPr>
        <w:t xml:space="preserve"> </w:t>
      </w:r>
    </w:p>
    <w:p w14:paraId="431785A3" w14:textId="77777777" w:rsidR="00CE038B" w:rsidRPr="00E55C4C" w:rsidRDefault="00CE038B" w:rsidP="009254D5">
      <w:pPr>
        <w:pStyle w:val="ListParagraph"/>
        <w:numPr>
          <w:ilvl w:val="0"/>
          <w:numId w:val="0"/>
        </w:numPr>
        <w:spacing w:before="0"/>
        <w:ind w:left="1134"/>
        <w:rPr>
          <w:rFonts w:ascii="Century Gothic" w:hAnsi="Century Gothic" w:cs="Arial"/>
          <w:sz w:val="22"/>
        </w:rPr>
      </w:pPr>
    </w:p>
    <w:p w14:paraId="223AD439" w14:textId="77777777" w:rsidR="0076487E"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It is the responsibility of the Pharmacy to ensure that the staff undertaking the Service have received appropriate training, including completion of relevant competencies/accreditation and relevant health and safety training.</w:t>
      </w:r>
    </w:p>
    <w:p w14:paraId="655B5EBD" w14:textId="2682E5E6" w:rsidR="00FA5490" w:rsidRPr="00E55C4C" w:rsidRDefault="00D25D65"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Mandatory t</w:t>
      </w:r>
      <w:r w:rsidR="001B318C" w:rsidRPr="00E55C4C">
        <w:rPr>
          <w:rFonts w:ascii="Century Gothic" w:hAnsi="Century Gothic" w:cs="Arial"/>
          <w:sz w:val="22"/>
        </w:rPr>
        <w:t xml:space="preserve">raining in the delivery of the </w:t>
      </w:r>
      <w:r w:rsidR="00BD6C95" w:rsidRPr="00E55C4C">
        <w:rPr>
          <w:rFonts w:ascii="Century Gothic" w:hAnsi="Century Gothic" w:cs="Arial"/>
          <w:sz w:val="22"/>
        </w:rPr>
        <w:t>E</w:t>
      </w:r>
      <w:r w:rsidR="005F7A6C" w:rsidRPr="00E55C4C">
        <w:rPr>
          <w:rFonts w:ascii="Century Gothic" w:hAnsi="Century Gothic" w:cs="Arial"/>
          <w:sz w:val="22"/>
        </w:rPr>
        <w:t>NAP</w:t>
      </w:r>
      <w:r w:rsidR="003963DF" w:rsidRPr="00E55C4C">
        <w:rPr>
          <w:rFonts w:ascii="Century Gothic" w:hAnsi="Century Gothic" w:cs="Arial"/>
          <w:sz w:val="22"/>
        </w:rPr>
        <w:t xml:space="preserve"> and THN</w:t>
      </w:r>
      <w:r w:rsidR="001B318C" w:rsidRPr="00E55C4C">
        <w:rPr>
          <w:rFonts w:ascii="Century Gothic" w:hAnsi="Century Gothic" w:cs="Arial"/>
          <w:sz w:val="22"/>
        </w:rPr>
        <w:t xml:space="preserve"> is provided by </w:t>
      </w:r>
      <w:r w:rsidR="00986737" w:rsidRPr="00E55C4C">
        <w:rPr>
          <w:rFonts w:ascii="Century Gothic" w:hAnsi="Century Gothic" w:cs="Arial"/>
          <w:sz w:val="22"/>
        </w:rPr>
        <w:t>Waythrough</w:t>
      </w:r>
      <w:r w:rsidRPr="00E55C4C">
        <w:rPr>
          <w:rFonts w:ascii="Century Gothic" w:hAnsi="Century Gothic" w:cs="Arial"/>
          <w:sz w:val="22"/>
        </w:rPr>
        <w:t xml:space="preserve"> which may be delivered </w:t>
      </w:r>
      <w:r w:rsidR="009F35DB" w:rsidRPr="00E55C4C">
        <w:rPr>
          <w:rFonts w:ascii="Century Gothic" w:hAnsi="Century Gothic" w:cs="Arial"/>
          <w:sz w:val="22"/>
        </w:rPr>
        <w:t>virtually,</w:t>
      </w:r>
      <w:r w:rsidR="0076487E" w:rsidRPr="00E55C4C">
        <w:rPr>
          <w:rFonts w:ascii="Century Gothic" w:hAnsi="Century Gothic" w:cs="Arial"/>
          <w:sz w:val="22"/>
        </w:rPr>
        <w:t xml:space="preserve"> and the Pharmacy must retain a training record for each member of staff. </w:t>
      </w:r>
      <w:r w:rsidR="003963DF" w:rsidRPr="00E55C4C">
        <w:rPr>
          <w:rFonts w:ascii="Century Gothic" w:hAnsi="Century Gothic" w:cs="Arial"/>
          <w:sz w:val="22"/>
        </w:rPr>
        <w:t xml:space="preserve">Training will be also available online </w:t>
      </w:r>
      <w:r w:rsidR="009F35DB" w:rsidRPr="00E55C4C">
        <w:rPr>
          <w:rFonts w:ascii="Century Gothic" w:hAnsi="Century Gothic" w:cs="Arial"/>
          <w:sz w:val="22"/>
        </w:rPr>
        <w:t>on Waythrough website for those members of staff who are unable to attend the virtual webinar training sessions.</w:t>
      </w:r>
      <w:r w:rsidR="00FA5490" w:rsidRPr="00E55C4C">
        <w:rPr>
          <w:rFonts w:ascii="Century Gothic" w:hAnsi="Century Gothic" w:cs="Arial"/>
          <w:sz w:val="22"/>
        </w:rPr>
        <w:t xml:space="preserve"> </w:t>
      </w:r>
    </w:p>
    <w:p w14:paraId="356DB061" w14:textId="79E8719C" w:rsidR="00D25D65" w:rsidRPr="00E55C4C" w:rsidRDefault="00FA5490" w:rsidP="00FA5490">
      <w:pPr>
        <w:pStyle w:val="ListParagraph"/>
        <w:numPr>
          <w:ilvl w:val="0"/>
          <w:numId w:val="0"/>
        </w:numPr>
        <w:spacing w:before="0"/>
        <w:ind w:left="567"/>
        <w:rPr>
          <w:rFonts w:ascii="Century Gothic" w:hAnsi="Century Gothic" w:cs="Arial"/>
          <w:color w:val="FF5538"/>
          <w:sz w:val="22"/>
        </w:rPr>
      </w:pPr>
      <w:r w:rsidRPr="00E55C4C">
        <w:rPr>
          <w:rFonts w:ascii="Century Gothic" w:hAnsi="Century Gothic" w:cs="Arial"/>
          <w:sz w:val="22"/>
        </w:rPr>
        <w:t xml:space="preserve">Additionally, all Pharmacy staff should be </w:t>
      </w:r>
      <w:r w:rsidRPr="00E55C4C">
        <w:rPr>
          <w:rFonts w:ascii="Century Gothic" w:hAnsi="Century Gothic" w:cs="Arial"/>
          <w:i/>
          <w:iCs/>
          <w:sz w:val="22"/>
        </w:rPr>
        <w:t>encouraged</w:t>
      </w:r>
      <w:r w:rsidRPr="00E55C4C">
        <w:rPr>
          <w:rFonts w:ascii="Century Gothic" w:hAnsi="Century Gothic" w:cs="Arial"/>
          <w:sz w:val="22"/>
        </w:rPr>
        <w:t xml:space="preserve"> to complete the free online training courses from SMMGP at </w:t>
      </w:r>
      <w:hyperlink r:id="rId23" w:history="1">
        <w:r w:rsidRPr="00E55C4C">
          <w:rPr>
            <w:rStyle w:val="Hyperlink"/>
            <w:rFonts w:ascii="Century Gothic" w:hAnsi="Century Gothic" w:cs="Arial"/>
            <w:sz w:val="22"/>
          </w:rPr>
          <w:t>https://www.ap-elearning.org.uk/</w:t>
        </w:r>
      </w:hyperlink>
      <w:r w:rsidRPr="00E55C4C">
        <w:rPr>
          <w:rFonts w:ascii="Century Gothic" w:hAnsi="Century Gothic" w:cs="Arial"/>
          <w:sz w:val="22"/>
        </w:rPr>
        <w:t xml:space="preserve"> (individual registration required).  </w:t>
      </w:r>
    </w:p>
    <w:p w14:paraId="399FBCAE" w14:textId="35C14FD4" w:rsidR="00D25D65" w:rsidRPr="00E55C4C" w:rsidRDefault="001B318C" w:rsidP="5CFCF79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The Responsible Pharmacist must have completed Safeguarding training to Level 2</w:t>
      </w:r>
      <w:r w:rsidR="00331704" w:rsidRPr="00E55C4C">
        <w:rPr>
          <w:rFonts w:ascii="Century Gothic" w:hAnsi="Century Gothic" w:cs="Arial"/>
          <w:sz w:val="22"/>
        </w:rPr>
        <w:t xml:space="preserve">. </w:t>
      </w:r>
      <w:r w:rsidRPr="00E55C4C">
        <w:rPr>
          <w:rFonts w:ascii="Century Gothic" w:hAnsi="Century Gothic" w:cs="Arial"/>
          <w:sz w:val="22"/>
        </w:rPr>
        <w:t xml:space="preserve">The Responsible Pharmacist must ensure the suitability of any Pharmacy staff who are </w:t>
      </w:r>
      <w:r w:rsidR="005D4532" w:rsidRPr="00E55C4C">
        <w:rPr>
          <w:rFonts w:ascii="Century Gothic" w:hAnsi="Century Gothic" w:cs="Arial"/>
          <w:sz w:val="22"/>
        </w:rPr>
        <w:t xml:space="preserve">in </w:t>
      </w:r>
      <w:r w:rsidRPr="00E55C4C">
        <w:rPr>
          <w:rFonts w:ascii="Century Gothic" w:hAnsi="Century Gothic" w:cs="Arial"/>
          <w:sz w:val="22"/>
        </w:rPr>
        <w:t xml:space="preserve">one-to-one </w:t>
      </w:r>
      <w:r w:rsidR="005D4532" w:rsidRPr="00E55C4C">
        <w:rPr>
          <w:rFonts w:ascii="Century Gothic" w:hAnsi="Century Gothic" w:cs="Arial"/>
          <w:sz w:val="22"/>
        </w:rPr>
        <w:t xml:space="preserve">situations </w:t>
      </w:r>
      <w:r w:rsidRPr="00E55C4C">
        <w:rPr>
          <w:rFonts w:ascii="Century Gothic" w:hAnsi="Century Gothic" w:cs="Arial"/>
          <w:sz w:val="22"/>
        </w:rPr>
        <w:t>with vulnerable service user</w:t>
      </w:r>
      <w:r w:rsidR="005D4532" w:rsidRPr="00E55C4C">
        <w:rPr>
          <w:rFonts w:ascii="Century Gothic" w:hAnsi="Century Gothic" w:cs="Arial"/>
          <w:sz w:val="22"/>
        </w:rPr>
        <w:t>s</w:t>
      </w:r>
      <w:r w:rsidRPr="00E55C4C">
        <w:rPr>
          <w:rFonts w:ascii="Century Gothic" w:hAnsi="Century Gothic" w:cs="Arial"/>
          <w:sz w:val="22"/>
        </w:rPr>
        <w:t xml:space="preserve">. </w:t>
      </w:r>
    </w:p>
    <w:p w14:paraId="6C0B62C3" w14:textId="3AEA1CB8" w:rsidR="00927B7B"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 xml:space="preserve">Where locums or part time staff predominantly operate a </w:t>
      </w:r>
      <w:r w:rsidR="009F64DB" w:rsidRPr="00E55C4C">
        <w:rPr>
          <w:rFonts w:ascii="Century Gothic" w:hAnsi="Century Gothic" w:cs="Arial"/>
          <w:sz w:val="22"/>
        </w:rPr>
        <w:t>P</w:t>
      </w:r>
      <w:r w:rsidRPr="00E55C4C">
        <w:rPr>
          <w:rFonts w:ascii="Century Gothic" w:hAnsi="Century Gothic" w:cs="Arial"/>
          <w:sz w:val="22"/>
        </w:rPr>
        <w:t xml:space="preserve">harmacy, the Superintendent Pharmacist or delegated deputy must nominate a lead person to act as a contact. This must be communicated to </w:t>
      </w:r>
      <w:r w:rsidR="00986737" w:rsidRPr="00E55C4C">
        <w:rPr>
          <w:rFonts w:ascii="Century Gothic" w:hAnsi="Century Gothic" w:cs="Arial"/>
          <w:sz w:val="22"/>
        </w:rPr>
        <w:t>Waythrough</w:t>
      </w:r>
      <w:r w:rsidRPr="00E55C4C">
        <w:rPr>
          <w:rFonts w:ascii="Century Gothic" w:hAnsi="Century Gothic" w:cs="Arial"/>
          <w:sz w:val="22"/>
        </w:rPr>
        <w:t xml:space="preserve"> promptly.</w:t>
      </w:r>
    </w:p>
    <w:p w14:paraId="3B69148D" w14:textId="7117D5E4" w:rsidR="00927B7B" w:rsidRPr="00E55C4C" w:rsidRDefault="00986737"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Waythrough</w:t>
      </w:r>
      <w:r w:rsidR="001B318C" w:rsidRPr="00E55C4C">
        <w:rPr>
          <w:rFonts w:ascii="Century Gothic" w:hAnsi="Century Gothic" w:cs="Arial"/>
          <w:sz w:val="22"/>
        </w:rPr>
        <w:t xml:space="preserve"> will seek to provide at least one training event per year (face-to-face or online) which will usually be available for access by the wider Pharmacy Team (including locum staff), to support broader development of competency and confidence in the management of substance misuse. The Pharmacy must be represented by at least one member of staff at a minimum of one </w:t>
      </w:r>
      <w:r w:rsidRPr="00E55C4C">
        <w:rPr>
          <w:rFonts w:ascii="Century Gothic" w:hAnsi="Century Gothic" w:cs="Arial"/>
          <w:sz w:val="22"/>
        </w:rPr>
        <w:t>Waythrough</w:t>
      </w:r>
      <w:r w:rsidR="00B660A2" w:rsidRPr="00E55C4C">
        <w:rPr>
          <w:rFonts w:ascii="Century Gothic" w:hAnsi="Century Gothic" w:cs="Arial"/>
          <w:sz w:val="22"/>
        </w:rPr>
        <w:t xml:space="preserve"> training </w:t>
      </w:r>
      <w:r w:rsidR="001B318C" w:rsidRPr="00E55C4C">
        <w:rPr>
          <w:rFonts w:ascii="Century Gothic" w:hAnsi="Century Gothic" w:cs="Arial"/>
          <w:sz w:val="22"/>
        </w:rPr>
        <w:t xml:space="preserve">event </w:t>
      </w:r>
      <w:r w:rsidR="000572AC" w:rsidRPr="00E55C4C">
        <w:rPr>
          <w:rFonts w:ascii="Century Gothic" w:hAnsi="Century Gothic" w:cs="Arial"/>
          <w:sz w:val="22"/>
        </w:rPr>
        <w:t xml:space="preserve">relating to </w:t>
      </w:r>
      <w:r w:rsidR="00B660A2" w:rsidRPr="00E55C4C">
        <w:rPr>
          <w:rFonts w:ascii="Century Gothic" w:hAnsi="Century Gothic" w:cs="Arial"/>
          <w:sz w:val="22"/>
        </w:rPr>
        <w:t xml:space="preserve">substance misuse service provision </w:t>
      </w:r>
      <w:r w:rsidR="001B318C" w:rsidRPr="00E55C4C">
        <w:rPr>
          <w:rFonts w:ascii="Century Gothic" w:hAnsi="Century Gothic" w:cs="Arial"/>
          <w:sz w:val="22"/>
        </w:rPr>
        <w:t>per year.</w:t>
      </w:r>
    </w:p>
    <w:p w14:paraId="288637BF" w14:textId="339A8F9C" w:rsidR="00927B7B" w:rsidRPr="00E55C4C" w:rsidRDefault="001B318C" w:rsidP="002D046D">
      <w:pPr>
        <w:pStyle w:val="ListParagraph"/>
        <w:numPr>
          <w:ilvl w:val="1"/>
          <w:numId w:val="10"/>
        </w:numPr>
        <w:spacing w:before="0"/>
        <w:ind w:left="567" w:hanging="567"/>
        <w:rPr>
          <w:rFonts w:ascii="Century Gothic" w:hAnsi="Century Gothic" w:cs="Arial"/>
          <w:color w:val="FF5538"/>
          <w:sz w:val="22"/>
        </w:rPr>
      </w:pPr>
      <w:r w:rsidRPr="00E55C4C">
        <w:rPr>
          <w:rFonts w:ascii="Century Gothic" w:hAnsi="Century Gothic" w:cs="Arial"/>
          <w:sz w:val="22"/>
        </w:rPr>
        <w:t>The Responsible Pharmacist on duty at any time will retain professional responsibility and the Pharmacy shall retain liability for the Service.</w:t>
      </w:r>
    </w:p>
    <w:p w14:paraId="5EC13CEA" w14:textId="77777777" w:rsidR="00EF2A9A" w:rsidRPr="00E55C4C" w:rsidRDefault="00EF2A9A" w:rsidP="00EF2A9A">
      <w:pPr>
        <w:pStyle w:val="Heading1"/>
        <w:spacing w:before="0"/>
        <w:ind w:left="284"/>
        <w:rPr>
          <w:rFonts w:ascii="Century Gothic" w:hAnsi="Century Gothic" w:cs="Arial"/>
          <w:color w:val="FF5538"/>
          <w:sz w:val="24"/>
          <w:szCs w:val="24"/>
        </w:rPr>
      </w:pPr>
    </w:p>
    <w:p w14:paraId="058002C7" w14:textId="2EF66F82" w:rsidR="005F4023" w:rsidRPr="00E55C4C" w:rsidRDefault="00BD74E4" w:rsidP="002D046D">
      <w:pPr>
        <w:pStyle w:val="Heading1"/>
        <w:numPr>
          <w:ilvl w:val="0"/>
          <w:numId w:val="6"/>
        </w:numPr>
        <w:spacing w:before="0"/>
        <w:ind w:left="284" w:hanging="284"/>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Emergency Naloxone Administration Programme</w:t>
      </w:r>
      <w:r w:rsidR="00936017" w:rsidRPr="00E55C4C">
        <w:rPr>
          <w:rFonts w:ascii="Century Gothic" w:hAnsi="Century Gothic" w:cs="Arial"/>
          <w:color w:val="599879" w:themeColor="accent3"/>
          <w:sz w:val="24"/>
          <w:szCs w:val="24"/>
        </w:rPr>
        <w:t xml:space="preserve"> (ENAP)</w:t>
      </w:r>
      <w:r w:rsidR="00E21633" w:rsidRPr="00E55C4C">
        <w:rPr>
          <w:rFonts w:ascii="Century Gothic" w:hAnsi="Century Gothic" w:cs="Arial"/>
          <w:color w:val="599879" w:themeColor="accent3"/>
          <w:sz w:val="24"/>
          <w:szCs w:val="24"/>
        </w:rPr>
        <w:t xml:space="preserve"> and </w:t>
      </w:r>
      <w:proofErr w:type="gramStart"/>
      <w:r w:rsidR="00E21633" w:rsidRPr="00E55C4C">
        <w:rPr>
          <w:rFonts w:ascii="Century Gothic" w:hAnsi="Century Gothic" w:cs="Arial"/>
          <w:color w:val="599879" w:themeColor="accent3"/>
          <w:sz w:val="24"/>
          <w:szCs w:val="24"/>
        </w:rPr>
        <w:t>Take Home</w:t>
      </w:r>
      <w:proofErr w:type="gramEnd"/>
      <w:r w:rsidR="00E21633" w:rsidRPr="00E55C4C">
        <w:rPr>
          <w:rFonts w:ascii="Century Gothic" w:hAnsi="Century Gothic" w:cs="Arial"/>
          <w:color w:val="599879" w:themeColor="accent3"/>
          <w:sz w:val="24"/>
          <w:szCs w:val="24"/>
        </w:rPr>
        <w:t xml:space="preserve"> Naloxone (THN)</w:t>
      </w:r>
      <w:r w:rsidR="00936017" w:rsidRPr="00E55C4C">
        <w:rPr>
          <w:rFonts w:ascii="Century Gothic" w:hAnsi="Century Gothic" w:cs="Arial"/>
          <w:color w:val="599879" w:themeColor="accent3"/>
          <w:sz w:val="24"/>
          <w:szCs w:val="24"/>
        </w:rPr>
        <w:t xml:space="preserve"> - process</w:t>
      </w:r>
    </w:p>
    <w:p w14:paraId="513B4E16" w14:textId="44A2337C" w:rsidR="00D43A1C" w:rsidRPr="00E55C4C" w:rsidRDefault="00D43A1C" w:rsidP="5CFCF79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Pharmacies must have </w:t>
      </w:r>
      <w:r w:rsidR="00B660A2" w:rsidRPr="00E55C4C">
        <w:rPr>
          <w:rFonts w:ascii="Century Gothic" w:hAnsi="Century Gothic" w:cs="Arial"/>
          <w:sz w:val="22"/>
        </w:rPr>
        <w:t>processes</w:t>
      </w:r>
      <w:r w:rsidRPr="00E55C4C">
        <w:rPr>
          <w:rFonts w:ascii="Century Gothic" w:hAnsi="Century Gothic" w:cs="Arial"/>
          <w:sz w:val="22"/>
        </w:rPr>
        <w:t xml:space="preserve"> in place which cover the storage,</w:t>
      </w:r>
      <w:r w:rsidR="00936017" w:rsidRPr="00E55C4C">
        <w:rPr>
          <w:rFonts w:ascii="Century Gothic" w:hAnsi="Century Gothic" w:cs="Arial"/>
          <w:sz w:val="22"/>
        </w:rPr>
        <w:t xml:space="preserve"> monitoring,</w:t>
      </w:r>
      <w:r w:rsidRPr="00E55C4C">
        <w:rPr>
          <w:rFonts w:ascii="Century Gothic" w:hAnsi="Century Gothic" w:cs="Arial"/>
          <w:sz w:val="22"/>
        </w:rPr>
        <w:t xml:space="preserve"> and disposal arrangements for the entire </w:t>
      </w:r>
      <w:r w:rsidR="00936017" w:rsidRPr="00E55C4C">
        <w:rPr>
          <w:rFonts w:ascii="Century Gothic" w:hAnsi="Century Gothic" w:cs="Arial"/>
          <w:sz w:val="22"/>
        </w:rPr>
        <w:t>ENAP</w:t>
      </w:r>
      <w:r w:rsidR="0010722E" w:rsidRPr="00E55C4C">
        <w:rPr>
          <w:rFonts w:ascii="Century Gothic" w:hAnsi="Century Gothic" w:cs="Arial"/>
          <w:sz w:val="22"/>
        </w:rPr>
        <w:t xml:space="preserve"> and THN</w:t>
      </w:r>
      <w:r w:rsidR="0030663C" w:rsidRPr="00E55C4C">
        <w:rPr>
          <w:rFonts w:ascii="Century Gothic" w:hAnsi="Century Gothic" w:cs="Arial"/>
          <w:sz w:val="22"/>
        </w:rPr>
        <w:t xml:space="preserve"> and</w:t>
      </w:r>
      <w:r w:rsidR="0A7DC350" w:rsidRPr="00E55C4C">
        <w:rPr>
          <w:rFonts w:ascii="Century Gothic" w:hAnsi="Century Gothic" w:cs="Arial"/>
          <w:sz w:val="22"/>
        </w:rPr>
        <w:t xml:space="preserve"> the information contained in this </w:t>
      </w:r>
      <w:r w:rsidR="0A7DC350" w:rsidRPr="00E55C4C">
        <w:rPr>
          <w:rFonts w:ascii="Century Gothic" w:hAnsi="Century Gothic" w:cs="Arial"/>
          <w:b/>
          <w:bCs/>
          <w:sz w:val="22"/>
        </w:rPr>
        <w:t>document where relevant</w:t>
      </w:r>
      <w:r w:rsidRPr="00E55C4C">
        <w:rPr>
          <w:rFonts w:ascii="Century Gothic" w:hAnsi="Century Gothic" w:cs="Arial"/>
          <w:b/>
          <w:bCs/>
          <w:sz w:val="22"/>
        </w:rPr>
        <w:t>.</w:t>
      </w:r>
    </w:p>
    <w:p w14:paraId="4D970E98" w14:textId="0E291EAA" w:rsidR="00EF2A9A" w:rsidRPr="00E55C4C" w:rsidRDefault="00EF2A9A" w:rsidP="002D046D">
      <w:pPr>
        <w:pStyle w:val="ListParagraph"/>
        <w:numPr>
          <w:ilvl w:val="1"/>
          <w:numId w:val="13"/>
        </w:numPr>
        <w:spacing w:before="0"/>
        <w:ind w:left="567" w:hanging="567"/>
        <w:rPr>
          <w:rFonts w:ascii="Century Gothic" w:hAnsi="Century Gothic" w:cs="Arial"/>
          <w:color w:val="FF5538"/>
          <w:sz w:val="22"/>
        </w:rPr>
      </w:pPr>
      <w:r w:rsidRPr="00E55C4C">
        <w:rPr>
          <w:rFonts w:ascii="Century Gothic" w:hAnsi="Century Gothic" w:cs="Arial"/>
          <w:sz w:val="22"/>
        </w:rPr>
        <w:t>The Pharmacy is responsible for ensuring that the medication is stored in line with manufacturers requirements</w:t>
      </w:r>
      <w:r w:rsidR="00580378" w:rsidRPr="00E55C4C">
        <w:rPr>
          <w:rFonts w:ascii="Century Gothic" w:hAnsi="Century Gothic" w:cs="Arial"/>
          <w:sz w:val="22"/>
        </w:rPr>
        <w:t>.</w:t>
      </w:r>
    </w:p>
    <w:p w14:paraId="2219002B" w14:textId="3D3E50EB" w:rsidR="00EF2A9A" w:rsidRPr="00E55C4C" w:rsidRDefault="00EF2A9A" w:rsidP="5CFCF79D">
      <w:pPr>
        <w:pStyle w:val="ListParagraph"/>
        <w:numPr>
          <w:ilvl w:val="1"/>
          <w:numId w:val="13"/>
        </w:numPr>
        <w:spacing w:before="0"/>
        <w:ind w:left="567" w:hanging="567"/>
        <w:rPr>
          <w:rFonts w:ascii="Century Gothic" w:hAnsi="Century Gothic" w:cs="Arial"/>
          <w:color w:val="FF5538"/>
          <w:sz w:val="22"/>
        </w:rPr>
      </w:pPr>
      <w:r w:rsidRPr="00E55C4C">
        <w:rPr>
          <w:rFonts w:ascii="Century Gothic" w:hAnsi="Century Gothic" w:cs="Arial"/>
          <w:sz w:val="22"/>
        </w:rPr>
        <w:t xml:space="preserve">In addition to </w:t>
      </w:r>
      <w:r w:rsidR="00936017" w:rsidRPr="00E55C4C">
        <w:rPr>
          <w:rFonts w:ascii="Century Gothic" w:hAnsi="Century Gothic" w:cs="Arial"/>
          <w:sz w:val="22"/>
        </w:rPr>
        <w:t>E</w:t>
      </w:r>
      <w:r w:rsidR="0030663C" w:rsidRPr="00E55C4C">
        <w:rPr>
          <w:rFonts w:ascii="Century Gothic" w:hAnsi="Century Gothic" w:cs="Arial"/>
          <w:sz w:val="22"/>
        </w:rPr>
        <w:t>NAP</w:t>
      </w:r>
      <w:r w:rsidR="0010722E" w:rsidRPr="00E55C4C">
        <w:rPr>
          <w:rFonts w:ascii="Century Gothic" w:hAnsi="Century Gothic" w:cs="Arial"/>
          <w:sz w:val="22"/>
        </w:rPr>
        <w:t xml:space="preserve"> and THN</w:t>
      </w:r>
      <w:r w:rsidR="0030663C" w:rsidRPr="00E55C4C">
        <w:rPr>
          <w:rFonts w:ascii="Century Gothic" w:hAnsi="Century Gothic" w:cs="Arial"/>
          <w:sz w:val="22"/>
        </w:rPr>
        <w:t xml:space="preserve"> </w:t>
      </w:r>
      <w:r w:rsidRPr="00E55C4C">
        <w:rPr>
          <w:rFonts w:ascii="Century Gothic" w:hAnsi="Century Gothic" w:cs="Arial"/>
          <w:sz w:val="22"/>
        </w:rPr>
        <w:t>the Pharmacy team must:</w:t>
      </w:r>
    </w:p>
    <w:p w14:paraId="34283D99" w14:textId="5676F692" w:rsidR="00EF2A9A" w:rsidRPr="00E55C4C" w:rsidRDefault="00EF2A9A" w:rsidP="002D046D">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 xml:space="preserve">Provide support and advice about drug overdose/harm reduction to </w:t>
      </w:r>
      <w:r w:rsidR="00D43A1C" w:rsidRPr="00E55C4C">
        <w:rPr>
          <w:rFonts w:ascii="Century Gothic" w:hAnsi="Century Gothic" w:cs="Arial"/>
          <w:sz w:val="22"/>
        </w:rPr>
        <w:t>people</w:t>
      </w:r>
      <w:r w:rsidRPr="00E55C4C">
        <w:rPr>
          <w:rFonts w:ascii="Century Gothic" w:hAnsi="Century Gothic" w:cs="Arial"/>
          <w:sz w:val="22"/>
        </w:rPr>
        <w:t xml:space="preserve"> accessing the service. </w:t>
      </w:r>
    </w:p>
    <w:p w14:paraId="06CFF778" w14:textId="703F1E81" w:rsidR="00EF2A9A" w:rsidRPr="00E55C4C" w:rsidRDefault="00EF2A9A" w:rsidP="002D046D">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Offer a user-friendly, non-judgmental, person-centred, and confidential service.</w:t>
      </w:r>
    </w:p>
    <w:p w14:paraId="6DCA0D73" w14:textId="77777777" w:rsidR="00814CF0" w:rsidRPr="00E55C4C" w:rsidRDefault="00814CF0" w:rsidP="00814CF0">
      <w:pPr>
        <w:pStyle w:val="ListParagraph"/>
        <w:numPr>
          <w:ilvl w:val="1"/>
          <w:numId w:val="19"/>
        </w:numPr>
        <w:spacing w:before="0"/>
        <w:ind w:left="862" w:hanging="295"/>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and/or </w:t>
      </w:r>
      <w:proofErr w:type="spellStart"/>
      <w:r w:rsidRPr="00E55C4C">
        <w:rPr>
          <w:rFonts w:ascii="Century Gothic" w:hAnsi="Century Gothic" w:cs="Arial"/>
          <w:sz w:val="22"/>
        </w:rPr>
        <w:t>Nyxoid</w:t>
      </w:r>
      <w:proofErr w:type="spellEnd"/>
      <w:r w:rsidRPr="00E55C4C">
        <w:rPr>
          <w:rFonts w:ascii="Century Gothic" w:hAnsi="Century Gothic" w:cs="Arial"/>
          <w:sz w:val="22"/>
        </w:rPr>
        <w:t>® free of charge to the person.</w:t>
      </w:r>
    </w:p>
    <w:p w14:paraId="22DEF66E" w14:textId="788DB6EB" w:rsidR="00252B2C" w:rsidRPr="00E55C4C" w:rsidRDefault="00EF2A9A" w:rsidP="0061378A">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Link into existing networks for harm reduction services to enable rapid referrals.</w:t>
      </w:r>
    </w:p>
    <w:p w14:paraId="22E5843C" w14:textId="2AE53B25" w:rsidR="00E00A4C" w:rsidRPr="00E55C4C" w:rsidRDefault="00E00A4C" w:rsidP="0061378A">
      <w:pPr>
        <w:pStyle w:val="ListParagraph"/>
        <w:numPr>
          <w:ilvl w:val="1"/>
          <w:numId w:val="19"/>
        </w:numPr>
        <w:spacing w:before="0"/>
        <w:ind w:left="862" w:hanging="295"/>
        <w:rPr>
          <w:rFonts w:ascii="Century Gothic" w:hAnsi="Century Gothic" w:cs="Arial"/>
          <w:sz w:val="22"/>
        </w:rPr>
      </w:pPr>
      <w:r w:rsidRPr="00E55C4C">
        <w:rPr>
          <w:rFonts w:ascii="Century Gothic" w:hAnsi="Century Gothic" w:cs="Arial"/>
          <w:sz w:val="22"/>
        </w:rPr>
        <w:t>Ensure that when unable to provide the service, for whatever reason, (e.g. under 18 years, no trained staff on site, person banned from premises) people are effectively signposted to alternative providers.</w:t>
      </w:r>
    </w:p>
    <w:p w14:paraId="2844631A" w14:textId="77777777" w:rsidR="00E21633" w:rsidRPr="00E55C4C" w:rsidRDefault="00E21633" w:rsidP="00E21633">
      <w:pPr>
        <w:pStyle w:val="ListParagraph"/>
        <w:numPr>
          <w:ilvl w:val="0"/>
          <w:numId w:val="0"/>
        </w:numPr>
        <w:spacing w:before="0"/>
        <w:ind w:left="862"/>
        <w:rPr>
          <w:rFonts w:ascii="Century Gothic" w:hAnsi="Century Gothic" w:cs="Arial"/>
          <w:sz w:val="22"/>
        </w:rPr>
      </w:pPr>
    </w:p>
    <w:p w14:paraId="61443836" w14:textId="35559E2F" w:rsidR="00E21633" w:rsidRPr="00E55C4C" w:rsidRDefault="00E21633" w:rsidP="00E21633">
      <w:pPr>
        <w:spacing w:before="0"/>
        <w:ind w:left="567"/>
        <w:rPr>
          <w:rFonts w:ascii="Century Gothic" w:hAnsi="Century Gothic" w:cs="Arial"/>
          <w:b/>
          <w:bCs/>
          <w:sz w:val="28"/>
          <w:szCs w:val="28"/>
        </w:rPr>
      </w:pPr>
      <w:r w:rsidRPr="00E55C4C">
        <w:rPr>
          <w:rFonts w:ascii="Century Gothic" w:hAnsi="Century Gothic" w:cs="Arial"/>
          <w:b/>
          <w:bCs/>
          <w:sz w:val="28"/>
          <w:szCs w:val="28"/>
        </w:rPr>
        <w:t>ENAP</w:t>
      </w:r>
      <w:r w:rsidR="00850D02" w:rsidRPr="00E55C4C">
        <w:rPr>
          <w:rFonts w:ascii="Century Gothic" w:hAnsi="Century Gothic" w:cs="Arial"/>
          <w:b/>
          <w:bCs/>
          <w:sz w:val="28"/>
          <w:szCs w:val="28"/>
        </w:rPr>
        <w:t xml:space="preserve"> service</w:t>
      </w:r>
    </w:p>
    <w:p w14:paraId="39A7D416" w14:textId="4F224869" w:rsidR="00EF2A9A" w:rsidRPr="00E55C4C" w:rsidRDefault="000D7FB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individual administering the naloxone must be </w:t>
      </w:r>
      <w:r w:rsidR="009D2A03" w:rsidRPr="00E55C4C">
        <w:rPr>
          <w:rFonts w:ascii="Century Gothic" w:hAnsi="Century Gothic" w:cs="Arial"/>
          <w:sz w:val="22"/>
        </w:rPr>
        <w:t>competent and have completed the relevant training and competency assessment</w:t>
      </w:r>
      <w:r w:rsidR="00BB23B3" w:rsidRPr="00E55C4C">
        <w:rPr>
          <w:rFonts w:ascii="Century Gothic" w:hAnsi="Century Gothic" w:cs="Arial"/>
          <w:sz w:val="22"/>
          <w:lang w:eastAsia="en-GB"/>
        </w:rPr>
        <w:t>.</w:t>
      </w:r>
    </w:p>
    <w:p w14:paraId="1419AB37" w14:textId="704B0C27" w:rsidR="008F1C0B" w:rsidRPr="00E55C4C" w:rsidRDefault="008F1C0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An ambulance </w:t>
      </w:r>
      <w:r w:rsidR="00E630D7" w:rsidRPr="00E55C4C">
        <w:rPr>
          <w:rFonts w:ascii="Century Gothic" w:hAnsi="Century Gothic" w:cs="Arial"/>
          <w:sz w:val="22"/>
        </w:rPr>
        <w:t>should be called before every administration or those activities to be run simultaneously (</w:t>
      </w:r>
      <w:proofErr w:type="spellStart"/>
      <w:r w:rsidR="00E630D7" w:rsidRPr="00E55C4C">
        <w:rPr>
          <w:rFonts w:ascii="Century Gothic" w:hAnsi="Century Gothic" w:cs="Arial"/>
          <w:sz w:val="22"/>
        </w:rPr>
        <w:t>Nyxoid</w:t>
      </w:r>
      <w:proofErr w:type="spellEnd"/>
      <w:r w:rsidR="00E630D7" w:rsidRPr="00E55C4C">
        <w:rPr>
          <w:rFonts w:ascii="Century Gothic" w:hAnsi="Century Gothic" w:cs="Arial"/>
          <w:sz w:val="22"/>
        </w:rPr>
        <w:t xml:space="preserve">® intranasal spray administration while calling an ambulance) when overdose is suspected.  </w:t>
      </w:r>
      <w:r w:rsidR="00106094" w:rsidRPr="00E55C4C">
        <w:rPr>
          <w:rFonts w:ascii="Century Gothic" w:hAnsi="Century Gothic" w:cs="Arial"/>
          <w:sz w:val="22"/>
        </w:rPr>
        <w:t>While it is accepted the person who has had the naloxone administered may leave the scene, pharmacy staff should discuss the importance of further assessment and encourage the person to go with the ambulance crew for further assessment</w:t>
      </w:r>
      <w:r w:rsidR="00145FB5" w:rsidRPr="00E55C4C">
        <w:rPr>
          <w:rFonts w:ascii="Century Gothic" w:hAnsi="Century Gothic" w:cs="Arial"/>
          <w:sz w:val="22"/>
        </w:rPr>
        <w:t>.</w:t>
      </w:r>
    </w:p>
    <w:p w14:paraId="20B80867" w14:textId="77777777" w:rsidR="00316C67" w:rsidRPr="00E55C4C" w:rsidRDefault="00316C67" w:rsidP="00316C67">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entry must be completed contemporaneously or as soon as possible after the incident, when overdose was suspected and Naloxone intranasal spray (</w:t>
      </w:r>
      <w:proofErr w:type="spellStart"/>
      <w:r w:rsidRPr="00E55C4C">
        <w:rPr>
          <w:rFonts w:ascii="Century Gothic" w:hAnsi="Century Gothic" w:cs="Arial"/>
          <w:sz w:val="22"/>
          <w:lang w:eastAsia="en-GB"/>
        </w:rPr>
        <w:t>Nyxoid</w:t>
      </w:r>
      <w:proofErr w:type="spellEnd"/>
      <w:r w:rsidRPr="00E55C4C">
        <w:rPr>
          <w:rFonts w:ascii="Century Gothic" w:hAnsi="Century Gothic" w:cs="Arial"/>
          <w:sz w:val="22"/>
          <w:lang w:eastAsia="en-GB"/>
        </w:rPr>
        <w:t xml:space="preserve">® or Naloxone 1.26mg nasal spray if any </w:t>
      </w:r>
      <w:proofErr w:type="spellStart"/>
      <w:r w:rsidRPr="00E55C4C">
        <w:rPr>
          <w:rFonts w:ascii="Century Gothic" w:hAnsi="Century Gothic" w:cs="Arial"/>
          <w:sz w:val="22"/>
          <w:lang w:eastAsia="en-GB"/>
        </w:rPr>
        <w:t>Nyxoid</w:t>
      </w:r>
      <w:proofErr w:type="spellEnd"/>
      <w:r w:rsidRPr="00E55C4C">
        <w:rPr>
          <w:rFonts w:ascii="Century Gothic" w:hAnsi="Century Gothic" w:cs="Arial"/>
          <w:sz w:val="22"/>
          <w:lang w:eastAsia="en-GB"/>
        </w:rPr>
        <w:t>® stock issues) used, for each ENAP episode.</w:t>
      </w:r>
    </w:p>
    <w:p w14:paraId="4F2714C9" w14:textId="77777777" w:rsidR="00316C67" w:rsidRPr="00E55C4C" w:rsidRDefault="00316C67" w:rsidP="00316C67">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Pharmacy must maintain appropriate records to ensure effective ongoing service delivery and audit. </w:t>
      </w:r>
    </w:p>
    <w:p w14:paraId="172FD2D6" w14:textId="77777777" w:rsidR="00316C67" w:rsidRPr="00E55C4C" w:rsidRDefault="00316C67" w:rsidP="00316C67">
      <w:pPr>
        <w:pStyle w:val="ListParagraph"/>
        <w:numPr>
          <w:ilvl w:val="0"/>
          <w:numId w:val="0"/>
        </w:numPr>
        <w:spacing w:before="0"/>
        <w:ind w:left="567"/>
        <w:rPr>
          <w:rFonts w:ascii="Century Gothic" w:hAnsi="Century Gothic" w:cs="Arial"/>
          <w:sz w:val="22"/>
        </w:rPr>
      </w:pPr>
    </w:p>
    <w:p w14:paraId="42564312" w14:textId="77777777" w:rsidR="00145FB5" w:rsidRPr="00E55C4C" w:rsidRDefault="00145FB5" w:rsidP="00850D02">
      <w:pPr>
        <w:pStyle w:val="ListParagraph"/>
        <w:numPr>
          <w:ilvl w:val="0"/>
          <w:numId w:val="0"/>
        </w:numPr>
        <w:spacing w:before="0"/>
        <w:ind w:left="567"/>
        <w:rPr>
          <w:rFonts w:ascii="Century Gothic" w:hAnsi="Century Gothic" w:cs="Arial"/>
          <w:sz w:val="22"/>
        </w:rPr>
      </w:pPr>
    </w:p>
    <w:p w14:paraId="5B44DD35" w14:textId="3E11C81F" w:rsidR="00D873A7" w:rsidRPr="00E55C4C" w:rsidRDefault="00850D02" w:rsidP="00850D02">
      <w:pPr>
        <w:pStyle w:val="ListParagraph"/>
        <w:numPr>
          <w:ilvl w:val="0"/>
          <w:numId w:val="0"/>
        </w:numPr>
        <w:spacing w:before="0"/>
        <w:ind w:left="567"/>
        <w:rPr>
          <w:rFonts w:ascii="Century Gothic" w:hAnsi="Century Gothic" w:cs="Arial"/>
          <w:b/>
          <w:bCs/>
          <w:sz w:val="28"/>
          <w:szCs w:val="28"/>
        </w:rPr>
      </w:pPr>
      <w:r w:rsidRPr="00E55C4C">
        <w:rPr>
          <w:rFonts w:ascii="Century Gothic" w:hAnsi="Century Gothic" w:cs="Arial"/>
          <w:b/>
          <w:bCs/>
          <w:sz w:val="28"/>
          <w:szCs w:val="28"/>
        </w:rPr>
        <w:t>THN service</w:t>
      </w:r>
    </w:p>
    <w:p w14:paraId="54DB2A02" w14:textId="59A22262" w:rsidR="00D873A7" w:rsidRPr="00E55C4C" w:rsidRDefault="00AF69C2"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The Service must be completed in a location that considers the persons’ comfort, privacy, and dignity. It must never be provided in the Dispensary.</w:t>
      </w:r>
    </w:p>
    <w:p w14:paraId="3BDB77D1" w14:textId="77777777" w:rsidR="0027732A" w:rsidRPr="00E55C4C" w:rsidRDefault="0027732A" w:rsidP="0027732A">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Competency of the individual and i</w:t>
      </w:r>
      <w:r w:rsidRPr="00E55C4C">
        <w:rPr>
          <w:rFonts w:ascii="Century Gothic" w:hAnsi="Century Gothic" w:cs="Arial"/>
          <w:sz w:val="22"/>
          <w:lang w:eastAsia="en-GB"/>
        </w:rPr>
        <w:t xml:space="preserve">nformed consent (including provision of information relating to the safe storage, administration, disposal, and re-supply) must be obtained and documented prior to every supply, using </w:t>
      </w: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The minimum information to be captured is listed in </w:t>
      </w:r>
      <w:hyperlink w:anchor="_Appendix_B:_Pharmacy" w:history="1">
        <w:r w:rsidRPr="00E55C4C">
          <w:rPr>
            <w:rStyle w:val="Hyperlink"/>
            <w:rFonts w:ascii="Century Gothic" w:hAnsi="Century Gothic" w:cs="Arial"/>
            <w:i/>
            <w:iCs/>
            <w:sz w:val="22"/>
          </w:rPr>
          <w:t>Appendix B ‘Pharmacy THN Competency Assessment and Supply Exemplar Template’</w:t>
        </w:r>
      </w:hyperlink>
    </w:p>
    <w:p w14:paraId="19DC4466" w14:textId="3D0945A8" w:rsidR="00D216EA" w:rsidRPr="00E55C4C" w:rsidRDefault="00D81A89" w:rsidP="002D046D">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lang w:eastAsia="en-GB"/>
        </w:rPr>
        <w:t>PharmOutcomes</w:t>
      </w:r>
      <w:proofErr w:type="spellEnd"/>
      <w:r w:rsidRPr="00E55C4C">
        <w:rPr>
          <w:rFonts w:ascii="Century Gothic" w:hAnsi="Century Gothic" w:cs="Arial"/>
          <w:sz w:val="22"/>
          <w:lang w:eastAsia="en-GB"/>
        </w:rPr>
        <w:t xml:space="preserve"> entry must be completed contemporaneously for each THN supply.</w:t>
      </w:r>
    </w:p>
    <w:p w14:paraId="4B3DB2C9" w14:textId="77777777" w:rsidR="00402A05" w:rsidRPr="00E55C4C" w:rsidRDefault="00402A05" w:rsidP="00402A05">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Pharmacy must maintain appropriate records to ensure effective ongoing service delivery and audit. </w:t>
      </w:r>
    </w:p>
    <w:p w14:paraId="41FB4DF0" w14:textId="77777777" w:rsidR="00A005C1" w:rsidRPr="00E55C4C" w:rsidRDefault="00A005C1" w:rsidP="00A005C1">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person should be offered THN/information about THN if they are thought to be at risk of experiencing/responding to drug related overdose e.g. if they access Needle Syringe Provision (NSP). </w:t>
      </w:r>
    </w:p>
    <w:p w14:paraId="60E9CA53" w14:textId="77777777" w:rsidR="00A005C1" w:rsidRPr="00E55C4C" w:rsidRDefault="00A005C1" w:rsidP="00A005C1">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Pharmacy staff members should assure themselves that the supply is only made to individuals of 18 years or over. Young people must be signposted to specialist local young persons’ services.</w:t>
      </w:r>
    </w:p>
    <w:p w14:paraId="0403BFB4" w14:textId="77777777" w:rsidR="00A005C1" w:rsidRPr="00E55C4C" w:rsidRDefault="00A005C1" w:rsidP="00A005C1">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Pharmacy staff members should ensure that the individual is not knowingly allergic to </w:t>
      </w:r>
      <w:proofErr w:type="spellStart"/>
      <w:r w:rsidRPr="00E55C4C">
        <w:rPr>
          <w:rFonts w:ascii="Century Gothic" w:hAnsi="Century Gothic" w:cs="Arial"/>
          <w:sz w:val="22"/>
        </w:rPr>
        <w:t>Prenoxad</w:t>
      </w:r>
      <w:proofErr w:type="spellEnd"/>
      <w:r w:rsidRPr="00E55C4C">
        <w:rPr>
          <w:rFonts w:ascii="Century Gothic" w:hAnsi="Century Gothic" w:cs="Arial"/>
          <w:sz w:val="22"/>
        </w:rPr>
        <w:t>®/</w:t>
      </w:r>
      <w:proofErr w:type="spellStart"/>
      <w:r w:rsidRPr="00E55C4C">
        <w:rPr>
          <w:rFonts w:ascii="Century Gothic" w:hAnsi="Century Gothic" w:cs="Arial"/>
          <w:sz w:val="22"/>
        </w:rPr>
        <w:t>Nyxoid</w:t>
      </w:r>
      <w:proofErr w:type="spellEnd"/>
      <w:r w:rsidRPr="00E55C4C">
        <w:rPr>
          <w:rFonts w:ascii="Century Gothic" w:hAnsi="Century Gothic" w:cs="Arial"/>
          <w:sz w:val="22"/>
        </w:rPr>
        <w:t>® or any of the ingredients. Any details of an adverse drug reaction must be recorded.</w:t>
      </w:r>
    </w:p>
    <w:p w14:paraId="284E8E1D" w14:textId="77777777" w:rsidR="003F727E" w:rsidRPr="00E55C4C" w:rsidRDefault="003F727E" w:rsidP="003F727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Where systems permit, reminders for expiry dates must be sent.</w:t>
      </w:r>
    </w:p>
    <w:p w14:paraId="68AEA5D5" w14:textId="77777777" w:rsidR="003F727E" w:rsidRPr="00E55C4C" w:rsidRDefault="003F727E" w:rsidP="003F727E">
      <w:pPr>
        <w:pStyle w:val="ListParagraph"/>
        <w:numPr>
          <w:ilvl w:val="1"/>
          <w:numId w:val="13"/>
        </w:numPr>
        <w:spacing w:before="0"/>
        <w:ind w:left="567" w:hanging="567"/>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should be offered first line. </w:t>
      </w:r>
      <w:proofErr w:type="spellStart"/>
      <w:r w:rsidRPr="00E55C4C">
        <w:rPr>
          <w:rFonts w:ascii="Century Gothic" w:hAnsi="Century Gothic" w:cs="Arial"/>
          <w:sz w:val="22"/>
        </w:rPr>
        <w:t>Nyxoid</w:t>
      </w:r>
      <w:proofErr w:type="spellEnd"/>
      <w:r w:rsidRPr="00E55C4C">
        <w:rPr>
          <w:rFonts w:ascii="Century Gothic" w:hAnsi="Century Gothic" w:cs="Arial"/>
          <w:sz w:val="22"/>
        </w:rPr>
        <w:t>® may be the preferred product to be carried by those who are needle phobic.</w:t>
      </w:r>
    </w:p>
    <w:p w14:paraId="601ABC49" w14:textId="492E1060" w:rsidR="0097482E" w:rsidRPr="00E55C4C" w:rsidRDefault="0097482E" w:rsidP="0097482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One pack per person should usually be supplied; however more may be issued in exceptional circumstances at the professional discretion of the Pharmacy/if directed by </w:t>
      </w:r>
      <w:r w:rsidR="00986737" w:rsidRPr="00E55C4C">
        <w:rPr>
          <w:rFonts w:ascii="Century Gothic" w:hAnsi="Century Gothic" w:cs="Arial"/>
          <w:sz w:val="22"/>
        </w:rPr>
        <w:t>Waythrough</w:t>
      </w:r>
      <w:r w:rsidRPr="00E55C4C">
        <w:rPr>
          <w:rFonts w:ascii="Century Gothic" w:hAnsi="Century Gothic" w:cs="Arial"/>
          <w:sz w:val="22"/>
        </w:rPr>
        <w:t xml:space="preserve"> (e.g. in response to a </w:t>
      </w:r>
      <w:r w:rsidR="00155CE2" w:rsidRPr="00E55C4C">
        <w:rPr>
          <w:rFonts w:ascii="Century Gothic" w:hAnsi="Century Gothic" w:cs="Arial"/>
          <w:sz w:val="22"/>
        </w:rPr>
        <w:t>formal drug</w:t>
      </w:r>
      <w:r w:rsidRPr="00E55C4C">
        <w:rPr>
          <w:rFonts w:ascii="Century Gothic" w:hAnsi="Century Gothic" w:cs="Arial"/>
          <w:sz w:val="22"/>
        </w:rPr>
        <w:t xml:space="preserve"> alert).</w:t>
      </w:r>
    </w:p>
    <w:p w14:paraId="67350BB2" w14:textId="77777777" w:rsidR="00155CE2" w:rsidRPr="00E55C4C" w:rsidRDefault="00155CE2" w:rsidP="00155CE2">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An information leaflet should usually be provided in every pack of medication and must be provided every time a supply is made. Also available from:</w:t>
      </w:r>
    </w:p>
    <w:p w14:paraId="790E953C" w14:textId="77777777" w:rsidR="00155CE2" w:rsidRPr="00E55C4C" w:rsidRDefault="00155CE2" w:rsidP="00155CE2">
      <w:pPr>
        <w:pStyle w:val="LIstParagraph3"/>
        <w:numPr>
          <w:ilvl w:val="1"/>
          <w:numId w:val="16"/>
        </w:numPr>
        <w:spacing w:before="0" w:after="0"/>
        <w:jc w:val="both"/>
        <w:rPr>
          <w:rFonts w:ascii="Century Gothic" w:hAnsi="Century Gothic" w:cs="Arial"/>
          <w:sz w:val="22"/>
        </w:rPr>
      </w:pPr>
      <w:proofErr w:type="spellStart"/>
      <w:r w:rsidRPr="00E55C4C">
        <w:rPr>
          <w:rFonts w:ascii="Century Gothic" w:hAnsi="Century Gothic" w:cs="Arial"/>
          <w:sz w:val="22"/>
        </w:rPr>
        <w:t>Prenoxad</w:t>
      </w:r>
      <w:proofErr w:type="spellEnd"/>
      <w:r w:rsidRPr="00E55C4C">
        <w:rPr>
          <w:rFonts w:ascii="Century Gothic" w:hAnsi="Century Gothic" w:cs="Arial"/>
          <w:sz w:val="22"/>
        </w:rPr>
        <w:t xml:space="preserve">®: </w:t>
      </w:r>
      <w:hyperlink r:id="rId24" w:history="1">
        <w:r w:rsidRPr="00E55C4C">
          <w:rPr>
            <w:rStyle w:val="Hyperlink"/>
            <w:rFonts w:ascii="Century Gothic" w:hAnsi="Century Gothic" w:cs="Arial"/>
            <w:sz w:val="22"/>
          </w:rPr>
          <w:t>https://www.medicines.org.uk/emc/files/pil.3054.pdf</w:t>
        </w:r>
      </w:hyperlink>
      <w:r w:rsidRPr="00E55C4C">
        <w:rPr>
          <w:rFonts w:ascii="Century Gothic" w:hAnsi="Century Gothic" w:cs="Arial"/>
          <w:sz w:val="22"/>
        </w:rPr>
        <w:t xml:space="preserve"> </w:t>
      </w:r>
    </w:p>
    <w:p w14:paraId="3F801C61" w14:textId="77777777" w:rsidR="00155CE2" w:rsidRDefault="00155CE2" w:rsidP="00155CE2">
      <w:pPr>
        <w:pStyle w:val="LIstParagraph3"/>
        <w:numPr>
          <w:ilvl w:val="1"/>
          <w:numId w:val="16"/>
        </w:numPr>
        <w:spacing w:before="0" w:after="0"/>
        <w:jc w:val="both"/>
        <w:rPr>
          <w:rFonts w:ascii="Century Gothic" w:hAnsi="Century Gothic" w:cs="Arial"/>
          <w:sz w:val="22"/>
        </w:rPr>
      </w:pPr>
      <w:proofErr w:type="spellStart"/>
      <w:r w:rsidRPr="00E55C4C">
        <w:rPr>
          <w:rFonts w:ascii="Century Gothic" w:hAnsi="Century Gothic" w:cs="Arial"/>
          <w:sz w:val="22"/>
        </w:rPr>
        <w:t>Nyxoid</w:t>
      </w:r>
      <w:proofErr w:type="spellEnd"/>
      <w:r w:rsidRPr="00E55C4C">
        <w:rPr>
          <w:rFonts w:ascii="Century Gothic" w:hAnsi="Century Gothic" w:cs="Arial"/>
          <w:sz w:val="22"/>
        </w:rPr>
        <w:t xml:space="preserve">®: </w:t>
      </w:r>
      <w:hyperlink r:id="rId25" w:history="1">
        <w:r w:rsidRPr="00E55C4C">
          <w:rPr>
            <w:rStyle w:val="Hyperlink"/>
            <w:rFonts w:ascii="Century Gothic" w:hAnsi="Century Gothic" w:cs="Arial"/>
            <w:sz w:val="22"/>
          </w:rPr>
          <w:t>https://www.medicines.org.uk/emc/files/pil.9292.pdf</w:t>
        </w:r>
      </w:hyperlink>
      <w:r w:rsidRPr="00E55C4C">
        <w:rPr>
          <w:rFonts w:ascii="Century Gothic" w:hAnsi="Century Gothic" w:cs="Arial"/>
          <w:sz w:val="22"/>
        </w:rPr>
        <w:t xml:space="preserve"> </w:t>
      </w:r>
    </w:p>
    <w:p w14:paraId="5A86EFCE" w14:textId="324D234B" w:rsidR="00ED4411" w:rsidRDefault="00ED4411" w:rsidP="003E2543">
      <w:pPr>
        <w:pStyle w:val="LIstParagraph3"/>
        <w:numPr>
          <w:ilvl w:val="1"/>
          <w:numId w:val="16"/>
        </w:numPr>
        <w:spacing w:before="0" w:after="0"/>
        <w:rPr>
          <w:rFonts w:ascii="Century Gothic" w:hAnsi="Century Gothic" w:cs="Arial"/>
          <w:sz w:val="22"/>
        </w:rPr>
      </w:pPr>
      <w:r>
        <w:rPr>
          <w:rFonts w:ascii="Century Gothic" w:hAnsi="Century Gothic" w:cs="Arial"/>
          <w:sz w:val="22"/>
        </w:rPr>
        <w:t xml:space="preserve">Naloxone 1.26mg </w:t>
      </w:r>
      <w:r w:rsidR="003E2543">
        <w:rPr>
          <w:rFonts w:ascii="Century Gothic" w:hAnsi="Century Gothic" w:cs="Arial"/>
          <w:sz w:val="22"/>
        </w:rPr>
        <w:t>nasal spray:</w:t>
      </w:r>
      <w:r w:rsidR="003E2543" w:rsidRPr="003E2543">
        <w:rPr>
          <w:rFonts w:ascii="Century Gothic" w:hAnsi="Century Gothic" w:cs="Arial"/>
          <w:sz w:val="22"/>
        </w:rPr>
        <w:t xml:space="preserve"> </w:t>
      </w:r>
      <w:hyperlink r:id="rId26" w:history="1">
        <w:r w:rsidR="003E2543" w:rsidRPr="00E235ED">
          <w:rPr>
            <w:rStyle w:val="Hyperlink"/>
            <w:rFonts w:ascii="Century Gothic" w:hAnsi="Century Gothic" w:cs="Arial"/>
            <w:sz w:val="22"/>
          </w:rPr>
          <w:t>https://naloxone.uk/wp-content/uploads/sites/7/2023/03/2022-07-UK-PIL-Naloxone.pdf</w:t>
        </w:r>
      </w:hyperlink>
    </w:p>
    <w:p w14:paraId="797E7888" w14:textId="77777777" w:rsidR="003E2543" w:rsidRDefault="003E2543" w:rsidP="003E2543">
      <w:pPr>
        <w:pStyle w:val="LIstParagraph3"/>
        <w:numPr>
          <w:ilvl w:val="0"/>
          <w:numId w:val="0"/>
        </w:numPr>
        <w:spacing w:before="0" w:after="0"/>
        <w:ind w:left="1080"/>
        <w:rPr>
          <w:rFonts w:ascii="Century Gothic" w:hAnsi="Century Gothic" w:cs="Arial"/>
          <w:sz w:val="22"/>
        </w:rPr>
      </w:pPr>
    </w:p>
    <w:p w14:paraId="0DF62AD6" w14:textId="77777777" w:rsidR="003E2543" w:rsidRPr="00E55C4C" w:rsidRDefault="003E2543" w:rsidP="003E2543">
      <w:pPr>
        <w:pStyle w:val="LIstParagraph3"/>
        <w:numPr>
          <w:ilvl w:val="0"/>
          <w:numId w:val="0"/>
        </w:numPr>
        <w:spacing w:before="0" w:after="0"/>
        <w:ind w:left="1080"/>
        <w:rPr>
          <w:rFonts w:ascii="Century Gothic" w:hAnsi="Century Gothic" w:cs="Arial"/>
          <w:sz w:val="22"/>
        </w:rPr>
      </w:pPr>
    </w:p>
    <w:p w14:paraId="25B8AC77" w14:textId="77777777" w:rsidR="000B1E34" w:rsidRPr="00E55C4C" w:rsidRDefault="000B1E34" w:rsidP="000B1E34">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If the person is accessing naloxone via NSP, similar anonymity may be maintained by using the same identifiers (e.g. initials) to provide the THN.  </w:t>
      </w:r>
    </w:p>
    <w:p w14:paraId="7D83ED54" w14:textId="77777777" w:rsidR="00A33E8E" w:rsidRPr="00E55C4C" w:rsidRDefault="00A33E8E" w:rsidP="00A33E8E">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The recipient should be encouraged to return to the service before the expiry date to collect a new supply. It is not necessary to receive expired naloxone packs before replacing, but it should be encouraged. </w:t>
      </w:r>
      <w:bookmarkStart w:id="2" w:name="_65l5s98jm3gy" w:colFirst="0" w:colLast="0"/>
      <w:bookmarkStart w:id="3" w:name="_2du9lf1vtwri" w:colFirst="0" w:colLast="0"/>
      <w:bookmarkEnd w:id="2"/>
      <w:bookmarkEnd w:id="3"/>
      <w:r w:rsidRPr="00E55C4C">
        <w:rPr>
          <w:rFonts w:ascii="Century Gothic" w:hAnsi="Century Gothic" w:cs="Arial"/>
          <w:sz w:val="22"/>
        </w:rPr>
        <w:t xml:space="preserve"> </w:t>
      </w:r>
    </w:p>
    <w:p w14:paraId="325CAC66" w14:textId="77777777" w:rsidR="003F727E" w:rsidRPr="00E55C4C" w:rsidRDefault="003F727E" w:rsidP="00A33E8E">
      <w:pPr>
        <w:spacing w:before="0"/>
        <w:rPr>
          <w:rFonts w:ascii="Century Gothic" w:hAnsi="Century Gothic" w:cs="Arial"/>
          <w:sz w:val="22"/>
        </w:rPr>
      </w:pPr>
    </w:p>
    <w:p w14:paraId="6988924A" w14:textId="77777777" w:rsidR="003B372B" w:rsidRPr="00E55C4C" w:rsidRDefault="003B372B" w:rsidP="003B372B">
      <w:pPr>
        <w:pStyle w:val="ListParagraph"/>
        <w:numPr>
          <w:ilvl w:val="0"/>
          <w:numId w:val="0"/>
        </w:numPr>
        <w:spacing w:before="0"/>
        <w:ind w:left="567"/>
        <w:rPr>
          <w:rFonts w:ascii="Century Gothic" w:hAnsi="Century Gothic" w:cs="Arial"/>
          <w:sz w:val="22"/>
        </w:rPr>
      </w:pPr>
    </w:p>
    <w:p w14:paraId="220E93E2" w14:textId="16C3398F" w:rsidR="003B372B" w:rsidRPr="00E55C4C" w:rsidRDefault="003B372B" w:rsidP="003B372B">
      <w:pPr>
        <w:spacing w:before="0"/>
        <w:rPr>
          <w:rFonts w:ascii="Century Gothic" w:hAnsi="Century Gothic" w:cs="Arial"/>
          <w:sz w:val="22"/>
        </w:rPr>
      </w:pPr>
      <w:r w:rsidRPr="00E55C4C">
        <w:rPr>
          <w:rFonts w:ascii="Century Gothic" w:hAnsi="Century Gothic" w:cs="Arial"/>
          <w:b/>
          <w:bCs/>
          <w:szCs w:val="24"/>
        </w:rPr>
        <w:t>ENAP and THN service</w:t>
      </w:r>
    </w:p>
    <w:p w14:paraId="475D8407" w14:textId="67F22300" w:rsidR="00DC3FC6" w:rsidRPr="00E55C4C" w:rsidRDefault="005F4023"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Individuals </w:t>
      </w:r>
      <w:r w:rsidR="00DC3FC6" w:rsidRPr="00E55C4C">
        <w:rPr>
          <w:rFonts w:ascii="Century Gothic" w:hAnsi="Century Gothic" w:cs="Arial"/>
          <w:sz w:val="22"/>
        </w:rPr>
        <w:t>should</w:t>
      </w:r>
      <w:r w:rsidRPr="00E55C4C">
        <w:rPr>
          <w:rFonts w:ascii="Century Gothic" w:hAnsi="Century Gothic" w:cs="Arial"/>
          <w:sz w:val="22"/>
        </w:rPr>
        <w:t xml:space="preserve"> be signposted to the local </w:t>
      </w:r>
      <w:r w:rsidR="00986737" w:rsidRPr="00E55C4C">
        <w:rPr>
          <w:rFonts w:ascii="Century Gothic" w:hAnsi="Century Gothic" w:cs="Arial"/>
          <w:sz w:val="22"/>
        </w:rPr>
        <w:t>Waythrough</w:t>
      </w:r>
      <w:r w:rsidRPr="00E55C4C">
        <w:rPr>
          <w:rFonts w:ascii="Century Gothic" w:hAnsi="Century Gothic" w:cs="Arial"/>
          <w:sz w:val="22"/>
        </w:rPr>
        <w:t xml:space="preserve"> service for further information and referral for those currently not engaged in </w:t>
      </w:r>
      <w:r w:rsidR="00FA7DF3" w:rsidRPr="00E55C4C">
        <w:rPr>
          <w:rFonts w:ascii="Century Gothic" w:hAnsi="Century Gothic" w:cs="Arial"/>
          <w:sz w:val="22"/>
        </w:rPr>
        <w:t>treatment.</w:t>
      </w:r>
    </w:p>
    <w:p w14:paraId="78252BD9" w14:textId="77777777" w:rsidR="005820F6" w:rsidRPr="00E55C4C" w:rsidRDefault="005820F6"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The Pharmacy must have sufficient staffing levels to ensure safe and effective service provision. Pharmacy staff delivering the Service must not lone work.</w:t>
      </w:r>
    </w:p>
    <w:p w14:paraId="062FA66C" w14:textId="2A86F1B5" w:rsidR="00A651D9" w:rsidRPr="00E55C4C" w:rsidRDefault="00CB198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Locum Pharmacy staff must be made aware of this Service and the procedures </w:t>
      </w:r>
      <w:r w:rsidR="00CE792C" w:rsidRPr="00E55C4C">
        <w:rPr>
          <w:rFonts w:ascii="Century Gothic" w:hAnsi="Century Gothic" w:cs="Arial"/>
          <w:sz w:val="22"/>
        </w:rPr>
        <w:t>when</w:t>
      </w:r>
      <w:r w:rsidRPr="00E55C4C">
        <w:rPr>
          <w:rFonts w:ascii="Century Gothic" w:hAnsi="Century Gothic" w:cs="Arial"/>
          <w:sz w:val="22"/>
        </w:rPr>
        <w:t xml:space="preserve"> providing locum cover, as the presence of a locum is not a valid reason for the Service not to be appropriately implemented.</w:t>
      </w:r>
    </w:p>
    <w:p w14:paraId="50594092" w14:textId="77777777" w:rsidR="00491BB5" w:rsidRPr="00E55C4C" w:rsidRDefault="00CB198B"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It is essential that communication channels (e.g.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/emails) are regularly checked and promptly actioned, otherwise the safety/quality of Service provision may be impacted and payment to the Pharmacy may be impacted. </w:t>
      </w:r>
    </w:p>
    <w:p w14:paraId="72931D27" w14:textId="375C09CF" w:rsidR="005820F6" w:rsidRPr="00E55C4C" w:rsidRDefault="000D0816" w:rsidP="00F9697C">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Every supply must be recorded </w:t>
      </w:r>
      <w:r w:rsidR="00F9697C" w:rsidRPr="00E55C4C">
        <w:rPr>
          <w:rFonts w:ascii="Century Gothic" w:hAnsi="Century Gothic" w:cs="Arial"/>
          <w:sz w:val="22"/>
          <w:lang w:eastAsia="en-GB"/>
        </w:rPr>
        <w:t xml:space="preserve">using </w:t>
      </w:r>
      <w:proofErr w:type="spellStart"/>
      <w:r w:rsidR="00F9697C" w:rsidRPr="00E55C4C">
        <w:rPr>
          <w:rFonts w:ascii="Century Gothic" w:hAnsi="Century Gothic" w:cs="Arial"/>
          <w:sz w:val="22"/>
          <w:lang w:eastAsia="en-GB"/>
        </w:rPr>
        <w:t>PharmOutcomes</w:t>
      </w:r>
      <w:proofErr w:type="spellEnd"/>
      <w:r w:rsidR="003F0108" w:rsidRPr="00E55C4C">
        <w:rPr>
          <w:rFonts w:ascii="Century Gothic" w:hAnsi="Century Gothic" w:cs="Arial"/>
          <w:sz w:val="22"/>
          <w:lang w:eastAsia="en-GB"/>
        </w:rPr>
        <w:t xml:space="preserve"> using the ENAP</w:t>
      </w:r>
      <w:r w:rsidR="009F4808" w:rsidRPr="00E55C4C">
        <w:rPr>
          <w:rFonts w:ascii="Century Gothic" w:hAnsi="Century Gothic" w:cs="Arial"/>
          <w:sz w:val="22"/>
          <w:lang w:eastAsia="en-GB"/>
        </w:rPr>
        <w:t xml:space="preserve"> or THN</w:t>
      </w:r>
      <w:r w:rsidR="003F0108" w:rsidRPr="00E55C4C">
        <w:rPr>
          <w:rFonts w:ascii="Century Gothic" w:hAnsi="Century Gothic" w:cs="Arial"/>
          <w:sz w:val="22"/>
          <w:lang w:eastAsia="en-GB"/>
        </w:rPr>
        <w:t xml:space="preserve"> template. </w:t>
      </w:r>
      <w:r w:rsidR="00F9697C" w:rsidRPr="00E55C4C">
        <w:rPr>
          <w:rFonts w:ascii="Century Gothic" w:hAnsi="Century Gothic" w:cs="Arial"/>
          <w:sz w:val="22"/>
        </w:rPr>
        <w:t>No entries are required to be</w:t>
      </w:r>
      <w:r w:rsidR="00D43A1C" w:rsidRPr="00E55C4C">
        <w:rPr>
          <w:rFonts w:ascii="Century Gothic" w:hAnsi="Century Gothic" w:cs="Arial"/>
          <w:sz w:val="22"/>
        </w:rPr>
        <w:t xml:space="preserve"> added to the Patient Medication Record (PMR) system</w:t>
      </w:r>
      <w:r w:rsidR="00F9697C" w:rsidRPr="00E55C4C">
        <w:rPr>
          <w:rFonts w:ascii="Century Gothic" w:hAnsi="Century Gothic" w:cs="Arial"/>
          <w:sz w:val="22"/>
        </w:rPr>
        <w:t xml:space="preserve"> as supplies are usually anonymised</w:t>
      </w:r>
      <w:r w:rsidR="00D43A1C" w:rsidRPr="00E55C4C">
        <w:rPr>
          <w:rFonts w:ascii="Century Gothic" w:hAnsi="Century Gothic" w:cs="Arial"/>
          <w:sz w:val="22"/>
        </w:rPr>
        <w:t>.</w:t>
      </w:r>
    </w:p>
    <w:p w14:paraId="37C3E215" w14:textId="05F513C9" w:rsidR="000D0816" w:rsidRPr="00E55C4C" w:rsidRDefault="00F773ED"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If</w:t>
      </w:r>
      <w:r w:rsidR="009F4808" w:rsidRPr="00E55C4C">
        <w:rPr>
          <w:rFonts w:ascii="Century Gothic" w:hAnsi="Century Gothic" w:cs="Arial"/>
          <w:sz w:val="22"/>
        </w:rPr>
        <w:t xml:space="preserve"> emergency naloxone was administered (ENAP) and </w:t>
      </w:r>
      <w:r w:rsidRPr="00E55C4C">
        <w:rPr>
          <w:rFonts w:ascii="Century Gothic" w:hAnsi="Century Gothic" w:cs="Arial"/>
          <w:sz w:val="22"/>
        </w:rPr>
        <w:t xml:space="preserve">the pharmacy also </w:t>
      </w:r>
      <w:r w:rsidR="00256BA7" w:rsidRPr="00E55C4C">
        <w:rPr>
          <w:rFonts w:ascii="Century Gothic" w:hAnsi="Century Gothic" w:cs="Arial"/>
          <w:sz w:val="22"/>
        </w:rPr>
        <w:t>delivers</w:t>
      </w:r>
      <w:r w:rsidRPr="00E55C4C">
        <w:rPr>
          <w:rFonts w:ascii="Century Gothic" w:hAnsi="Century Gothic" w:cs="Arial"/>
          <w:sz w:val="22"/>
        </w:rPr>
        <w:t xml:space="preserve"> a Take Home Naloxone (THN) service</w:t>
      </w:r>
      <w:r w:rsidR="009F4808" w:rsidRPr="00E55C4C">
        <w:rPr>
          <w:rFonts w:ascii="Century Gothic" w:hAnsi="Century Gothic" w:cs="Arial"/>
          <w:sz w:val="22"/>
        </w:rPr>
        <w:t>,</w:t>
      </w:r>
      <w:r w:rsidRPr="00E55C4C">
        <w:rPr>
          <w:rFonts w:ascii="Century Gothic" w:hAnsi="Century Gothic" w:cs="Arial"/>
          <w:sz w:val="22"/>
        </w:rPr>
        <w:t xml:space="preserve"> then</w:t>
      </w:r>
      <w:r w:rsidR="00256BA7" w:rsidRPr="00E55C4C">
        <w:rPr>
          <w:rFonts w:ascii="Century Gothic" w:hAnsi="Century Gothic" w:cs="Arial"/>
          <w:sz w:val="22"/>
        </w:rPr>
        <w:t xml:space="preserve"> the person should be encouraged to take a supply with them (either injectable or nasal naloxone)</w:t>
      </w:r>
      <w:r w:rsidR="007E21AC" w:rsidRPr="00E55C4C">
        <w:rPr>
          <w:rFonts w:ascii="Century Gothic" w:hAnsi="Century Gothic" w:cs="Arial"/>
          <w:sz w:val="22"/>
        </w:rPr>
        <w:t xml:space="preserve">. Both these community pharmacy services are separate so payment for recording the ENAP episode and supply of THN will </w:t>
      </w:r>
      <w:r w:rsidR="004732EA" w:rsidRPr="00E55C4C">
        <w:rPr>
          <w:rFonts w:ascii="Century Gothic" w:hAnsi="Century Gothic" w:cs="Arial"/>
          <w:sz w:val="22"/>
        </w:rPr>
        <w:t xml:space="preserve">be </w:t>
      </w:r>
      <w:r w:rsidR="00410585" w:rsidRPr="00E55C4C">
        <w:rPr>
          <w:rFonts w:ascii="Century Gothic" w:hAnsi="Century Gothic" w:cs="Arial"/>
          <w:sz w:val="22"/>
        </w:rPr>
        <w:t>reimbursable</w:t>
      </w:r>
      <w:r w:rsidR="004732EA" w:rsidRPr="00E55C4C">
        <w:rPr>
          <w:rFonts w:ascii="Century Gothic" w:hAnsi="Century Gothic" w:cs="Arial"/>
          <w:sz w:val="22"/>
        </w:rPr>
        <w:t>.</w:t>
      </w:r>
    </w:p>
    <w:p w14:paraId="00D9340F" w14:textId="338BE6AD" w:rsidR="00410585" w:rsidRPr="00E55C4C" w:rsidRDefault="00410585" w:rsidP="002D046D">
      <w:pPr>
        <w:pStyle w:val="ListParagraph"/>
        <w:numPr>
          <w:ilvl w:val="1"/>
          <w:numId w:val="13"/>
        </w:numPr>
        <w:spacing w:before="0"/>
        <w:ind w:left="567" w:hanging="567"/>
        <w:rPr>
          <w:rFonts w:ascii="Century Gothic" w:hAnsi="Century Gothic" w:cs="Arial"/>
          <w:sz w:val="22"/>
        </w:rPr>
      </w:pPr>
      <w:r w:rsidRPr="00E55C4C">
        <w:rPr>
          <w:rFonts w:ascii="Century Gothic" w:hAnsi="Century Gothic" w:cs="Arial"/>
          <w:sz w:val="22"/>
        </w:rPr>
        <w:t xml:space="preserve">Basic Life Support (BLS) training is not delivered through the </w:t>
      </w:r>
      <w:r w:rsidR="00986737" w:rsidRPr="00E55C4C">
        <w:rPr>
          <w:rFonts w:ascii="Century Gothic" w:hAnsi="Century Gothic" w:cs="Arial"/>
          <w:sz w:val="22"/>
        </w:rPr>
        <w:t>Waythrough</w:t>
      </w:r>
      <w:r w:rsidRPr="00E55C4C">
        <w:rPr>
          <w:rFonts w:ascii="Century Gothic" w:hAnsi="Century Gothic" w:cs="Arial"/>
          <w:sz w:val="22"/>
        </w:rPr>
        <w:t xml:space="preserve"> training programme for this SLA.  </w:t>
      </w:r>
      <w:r w:rsidR="00AF2C0E" w:rsidRPr="00E55C4C">
        <w:rPr>
          <w:rFonts w:ascii="Century Gothic" w:hAnsi="Century Gothic" w:cs="Arial"/>
          <w:sz w:val="22"/>
        </w:rPr>
        <w:t xml:space="preserve">However, basic information is provided during the </w:t>
      </w:r>
      <w:r w:rsidR="00986737" w:rsidRPr="00E55C4C">
        <w:rPr>
          <w:rFonts w:ascii="Century Gothic" w:hAnsi="Century Gothic" w:cs="Arial"/>
          <w:sz w:val="22"/>
        </w:rPr>
        <w:t>Waythrough</w:t>
      </w:r>
      <w:r w:rsidR="00AF2C0E" w:rsidRPr="00E55C4C">
        <w:rPr>
          <w:rFonts w:ascii="Century Gothic" w:hAnsi="Century Gothic" w:cs="Arial"/>
          <w:sz w:val="22"/>
        </w:rPr>
        <w:t xml:space="preserve"> training programme and pharmacy staff are encouraged to </w:t>
      </w:r>
      <w:r w:rsidR="00A576A3" w:rsidRPr="00E55C4C">
        <w:rPr>
          <w:rFonts w:ascii="Century Gothic" w:hAnsi="Century Gothic" w:cs="Arial"/>
          <w:sz w:val="22"/>
        </w:rPr>
        <w:t>seek further information and training through local groups or via the following BLS sites</w:t>
      </w:r>
    </w:p>
    <w:p w14:paraId="6896A0B8" w14:textId="7CD8BCDA" w:rsidR="00A576A3" w:rsidRPr="00E55C4C" w:rsidRDefault="00882155" w:rsidP="00A576A3">
      <w:pPr>
        <w:pStyle w:val="ListParagraph"/>
        <w:numPr>
          <w:ilvl w:val="0"/>
          <w:numId w:val="30"/>
        </w:numPr>
        <w:spacing w:before="0"/>
        <w:rPr>
          <w:rFonts w:ascii="Century Gothic" w:hAnsi="Century Gothic" w:cs="Arial"/>
          <w:sz w:val="22"/>
        </w:rPr>
      </w:pPr>
      <w:hyperlink r:id="rId27" w:history="1">
        <w:r w:rsidRPr="00E55C4C">
          <w:rPr>
            <w:rStyle w:val="Hyperlink"/>
            <w:rFonts w:ascii="Century Gothic" w:hAnsi="Century Gothic"/>
          </w:rPr>
          <w:t>Adult basic life support Guidelines | Resuscitation Council UK</w:t>
        </w:r>
      </w:hyperlink>
    </w:p>
    <w:p w14:paraId="0E466359" w14:textId="47CDC1FE" w:rsidR="00882155" w:rsidRPr="00E55C4C" w:rsidRDefault="002D487C" w:rsidP="00A576A3">
      <w:pPr>
        <w:pStyle w:val="ListParagraph"/>
        <w:numPr>
          <w:ilvl w:val="0"/>
          <w:numId w:val="30"/>
        </w:numPr>
        <w:spacing w:before="0"/>
        <w:rPr>
          <w:rFonts w:ascii="Century Gothic" w:hAnsi="Century Gothic" w:cs="Arial"/>
          <w:sz w:val="22"/>
        </w:rPr>
      </w:pPr>
      <w:hyperlink r:id="rId28" w:history="1">
        <w:r w:rsidRPr="00E55C4C">
          <w:rPr>
            <w:rStyle w:val="Hyperlink"/>
            <w:rFonts w:ascii="Century Gothic" w:hAnsi="Century Gothic"/>
          </w:rPr>
          <w:t>How to do CPR on an adult | St John Ambulance (sja.org.uk)</w:t>
        </w:r>
      </w:hyperlink>
    </w:p>
    <w:p w14:paraId="5847C472" w14:textId="77777777" w:rsidR="00F31549" w:rsidRPr="00E55C4C" w:rsidRDefault="00F31549" w:rsidP="00F31549">
      <w:pPr>
        <w:spacing w:before="0"/>
        <w:rPr>
          <w:rFonts w:ascii="Century Gothic" w:hAnsi="Century Gothic" w:cs="Arial"/>
          <w:sz w:val="22"/>
        </w:rPr>
      </w:pPr>
    </w:p>
    <w:p w14:paraId="544829D9" w14:textId="77777777" w:rsidR="00F31549" w:rsidRPr="00E55C4C" w:rsidRDefault="00F31549" w:rsidP="002D046D">
      <w:pPr>
        <w:pStyle w:val="Heading1"/>
        <w:numPr>
          <w:ilvl w:val="0"/>
          <w:numId w:val="6"/>
        </w:numPr>
        <w:spacing w:before="0"/>
        <w:ind w:left="567" w:hanging="567"/>
        <w:rPr>
          <w:rFonts w:ascii="Century Gothic" w:hAnsi="Century Gothic" w:cs="Arial"/>
          <w:color w:val="599879" w:themeColor="accent3"/>
          <w:sz w:val="24"/>
          <w:szCs w:val="24"/>
        </w:rPr>
      </w:pPr>
      <w:r w:rsidRPr="00E55C4C">
        <w:rPr>
          <w:rFonts w:ascii="Century Gothic" w:hAnsi="Century Gothic" w:cs="Arial"/>
          <w:color w:val="599879" w:themeColor="accent3"/>
          <w:sz w:val="24"/>
          <w:szCs w:val="24"/>
        </w:rPr>
        <w:t>Quality Standards</w:t>
      </w:r>
    </w:p>
    <w:p w14:paraId="6F7A3AE7" w14:textId="14D69AA8"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The Pharmacy must display health promotion material </w:t>
      </w:r>
      <w:r w:rsidR="00B73B0D" w:rsidRPr="00E55C4C">
        <w:rPr>
          <w:rFonts w:ascii="Century Gothic" w:hAnsi="Century Gothic" w:cs="Arial"/>
          <w:sz w:val="22"/>
        </w:rPr>
        <w:t xml:space="preserve">supplied by </w:t>
      </w:r>
      <w:r w:rsidR="00986737" w:rsidRPr="00E55C4C">
        <w:rPr>
          <w:rFonts w:ascii="Century Gothic" w:hAnsi="Century Gothic" w:cs="Arial"/>
          <w:sz w:val="22"/>
        </w:rPr>
        <w:t>Waythrough</w:t>
      </w:r>
      <w:r w:rsidR="00B73B0D" w:rsidRPr="00E55C4C">
        <w:rPr>
          <w:rFonts w:ascii="Century Gothic" w:hAnsi="Century Gothic" w:cs="Arial"/>
          <w:sz w:val="22"/>
        </w:rPr>
        <w:t xml:space="preserve"> </w:t>
      </w:r>
      <w:r w:rsidRPr="00E55C4C">
        <w:rPr>
          <w:rFonts w:ascii="Century Gothic" w:hAnsi="Century Gothic" w:cs="Arial"/>
          <w:sz w:val="22"/>
        </w:rPr>
        <w:t>and make this available for the potential service user group and promote its uptake.</w:t>
      </w:r>
    </w:p>
    <w:p w14:paraId="3F329E4A" w14:textId="6DD3D126"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All Pharmacy staff involved with </w:t>
      </w:r>
      <w:r w:rsidR="004732EA" w:rsidRPr="00E55C4C">
        <w:rPr>
          <w:rFonts w:ascii="Century Gothic" w:hAnsi="Century Gothic" w:cs="Arial"/>
          <w:sz w:val="22"/>
        </w:rPr>
        <w:t>ENAP</w:t>
      </w:r>
      <w:r w:rsidR="009F4808" w:rsidRPr="00E55C4C">
        <w:rPr>
          <w:rFonts w:ascii="Century Gothic" w:hAnsi="Century Gothic" w:cs="Arial"/>
          <w:sz w:val="22"/>
        </w:rPr>
        <w:t xml:space="preserve"> and THN </w:t>
      </w:r>
      <w:r w:rsidRPr="00E55C4C">
        <w:rPr>
          <w:rFonts w:ascii="Century Gothic" w:hAnsi="Century Gothic" w:cs="Arial"/>
          <w:sz w:val="22"/>
        </w:rPr>
        <w:t>must have signed all associated Standard Operating Procedures.</w:t>
      </w:r>
    </w:p>
    <w:p w14:paraId="5D55261B" w14:textId="4A592B21"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All Pharmacy staff involved with </w:t>
      </w:r>
      <w:r w:rsidR="004732EA" w:rsidRPr="00E55C4C">
        <w:rPr>
          <w:rFonts w:ascii="Century Gothic" w:hAnsi="Century Gothic" w:cs="Arial"/>
          <w:sz w:val="22"/>
        </w:rPr>
        <w:t>ENAP</w:t>
      </w:r>
      <w:r w:rsidRPr="00E55C4C">
        <w:rPr>
          <w:rFonts w:ascii="Century Gothic" w:hAnsi="Century Gothic" w:cs="Arial"/>
          <w:sz w:val="22"/>
        </w:rPr>
        <w:t xml:space="preserve"> </w:t>
      </w:r>
      <w:r w:rsidR="00EA2627" w:rsidRPr="00E55C4C">
        <w:rPr>
          <w:rFonts w:ascii="Century Gothic" w:hAnsi="Century Gothic" w:cs="Arial"/>
          <w:sz w:val="22"/>
        </w:rPr>
        <w:t xml:space="preserve">and THN service </w:t>
      </w:r>
      <w:r w:rsidRPr="00E55C4C">
        <w:rPr>
          <w:rFonts w:ascii="Century Gothic" w:hAnsi="Century Gothic" w:cs="Arial"/>
          <w:sz w:val="22"/>
        </w:rPr>
        <w:t xml:space="preserve">must have completed the mandatory </w:t>
      </w:r>
      <w:r w:rsidR="00986737" w:rsidRPr="00E55C4C">
        <w:rPr>
          <w:rFonts w:ascii="Century Gothic" w:hAnsi="Century Gothic" w:cs="Arial"/>
          <w:sz w:val="22"/>
        </w:rPr>
        <w:t>Waythrough</w:t>
      </w:r>
      <w:r w:rsidRPr="00E55C4C">
        <w:rPr>
          <w:rFonts w:ascii="Century Gothic" w:hAnsi="Century Gothic" w:cs="Arial"/>
          <w:sz w:val="22"/>
        </w:rPr>
        <w:t xml:space="preserve"> training and </w:t>
      </w:r>
      <w:r w:rsidR="009F4808" w:rsidRPr="00E55C4C">
        <w:rPr>
          <w:rFonts w:ascii="Century Gothic" w:hAnsi="Century Gothic" w:cs="Arial"/>
          <w:sz w:val="22"/>
        </w:rPr>
        <w:t>have competencies assessed</w:t>
      </w:r>
      <w:r w:rsidRPr="00E55C4C">
        <w:rPr>
          <w:rFonts w:ascii="Century Gothic" w:hAnsi="Century Gothic" w:cs="Arial"/>
          <w:sz w:val="22"/>
        </w:rPr>
        <w:t xml:space="preserve"> to administer naloxone in an emergency/</w:t>
      </w:r>
      <w:r w:rsidR="006B7C50" w:rsidRPr="00E55C4C">
        <w:rPr>
          <w:rFonts w:ascii="Century Gothic" w:hAnsi="Century Gothic" w:cs="Arial"/>
          <w:sz w:val="22"/>
        </w:rPr>
        <w:t>supply naloxone/train others as appropriate.</w:t>
      </w:r>
    </w:p>
    <w:p w14:paraId="1D85EDF0" w14:textId="294814AF" w:rsidR="00A65F57" w:rsidRPr="00E55C4C" w:rsidRDefault="00A65F57" w:rsidP="5CFCF79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u w:val="single"/>
        </w:rPr>
        <w:t>The Pharmacy</w:t>
      </w:r>
      <w:r w:rsidRPr="00E55C4C">
        <w:rPr>
          <w:rFonts w:ascii="Century Gothic" w:hAnsi="Century Gothic" w:cs="Arial"/>
          <w:sz w:val="22"/>
        </w:rPr>
        <w:t xml:space="preserve"> </w:t>
      </w:r>
      <w:r w:rsidR="00F00DD1" w:rsidRPr="00E55C4C">
        <w:rPr>
          <w:rFonts w:ascii="Century Gothic" w:hAnsi="Century Gothic" w:cs="Arial"/>
          <w:sz w:val="22"/>
          <w:u w:val="single"/>
        </w:rPr>
        <w:t xml:space="preserve">should usually keep a minimum stock level of two kits of </w:t>
      </w:r>
      <w:proofErr w:type="spellStart"/>
      <w:r w:rsidR="00F00DD1" w:rsidRPr="00E55C4C">
        <w:rPr>
          <w:rFonts w:ascii="Century Gothic" w:hAnsi="Century Gothic" w:cs="Arial"/>
          <w:sz w:val="22"/>
          <w:u w:val="single"/>
        </w:rPr>
        <w:t>Nyxoid</w:t>
      </w:r>
      <w:proofErr w:type="spellEnd"/>
      <w:r w:rsidR="00F00DD1" w:rsidRPr="00E55C4C">
        <w:rPr>
          <w:rFonts w:ascii="Century Gothic" w:hAnsi="Century Gothic" w:cs="Arial"/>
          <w:sz w:val="22"/>
          <w:u w:val="single"/>
        </w:rPr>
        <w:t xml:space="preserve">® intranasal spray at any given time, replenishing the stock as required. </w:t>
      </w:r>
    </w:p>
    <w:p w14:paraId="635BB4B2" w14:textId="5FC06A97" w:rsidR="00525326" w:rsidRPr="00E55C4C" w:rsidRDefault="00986737"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Waythrough</w:t>
      </w:r>
      <w:r w:rsidR="009410DF" w:rsidRPr="00E55C4C">
        <w:rPr>
          <w:rFonts w:ascii="Century Gothic" w:hAnsi="Century Gothic" w:cs="Arial"/>
          <w:sz w:val="22"/>
        </w:rPr>
        <w:t xml:space="preserve"> may ask Pharmacy staff to demonstrate competency in providing this </w:t>
      </w:r>
      <w:r w:rsidR="00525326" w:rsidRPr="00E55C4C">
        <w:rPr>
          <w:rFonts w:ascii="Century Gothic" w:hAnsi="Century Gothic" w:cs="Arial"/>
          <w:sz w:val="22"/>
        </w:rPr>
        <w:t>service.</w:t>
      </w:r>
    </w:p>
    <w:p w14:paraId="72B6A763" w14:textId="77777777"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The Pharmacy must participate in audit of service provision, including any locally agreed assessment of service user experience.</w:t>
      </w:r>
    </w:p>
    <w:p w14:paraId="64406957" w14:textId="465178F1" w:rsidR="00F31549" w:rsidRPr="00E55C4C" w:rsidRDefault="00F31549" w:rsidP="002D046D">
      <w:pPr>
        <w:pStyle w:val="ListParagraph"/>
        <w:numPr>
          <w:ilvl w:val="1"/>
          <w:numId w:val="17"/>
        </w:numPr>
        <w:spacing w:before="0"/>
        <w:ind w:left="567" w:hanging="567"/>
        <w:rPr>
          <w:rFonts w:ascii="Century Gothic" w:hAnsi="Century Gothic" w:cs="Arial"/>
          <w:sz w:val="22"/>
        </w:rPr>
      </w:pPr>
      <w:r w:rsidRPr="00E55C4C">
        <w:rPr>
          <w:rFonts w:ascii="Century Gothic" w:hAnsi="Century Gothic" w:cs="Arial"/>
          <w:sz w:val="22"/>
        </w:rPr>
        <w:t xml:space="preserve">Outcomes will be monitored via </w:t>
      </w:r>
      <w:proofErr w:type="spellStart"/>
      <w:r w:rsidRPr="00E55C4C">
        <w:rPr>
          <w:rFonts w:ascii="Century Gothic" w:hAnsi="Century Gothic" w:cs="Arial"/>
          <w:sz w:val="22"/>
        </w:rPr>
        <w:t>PharmOutcomes</w:t>
      </w:r>
      <w:proofErr w:type="spellEnd"/>
      <w:r w:rsidRPr="00E55C4C">
        <w:rPr>
          <w:rFonts w:ascii="Century Gothic" w:hAnsi="Century Gothic" w:cs="Arial"/>
          <w:sz w:val="22"/>
        </w:rPr>
        <w:t xml:space="preserve"> and local service </w:t>
      </w:r>
      <w:r w:rsidR="006816BC" w:rsidRPr="00E55C4C">
        <w:rPr>
          <w:rFonts w:ascii="Century Gothic" w:hAnsi="Century Gothic" w:cs="Arial"/>
          <w:sz w:val="22"/>
        </w:rPr>
        <w:t>ENAP</w:t>
      </w:r>
      <w:r w:rsidR="006B7C50" w:rsidRPr="00E55C4C">
        <w:rPr>
          <w:rFonts w:ascii="Century Gothic" w:hAnsi="Century Gothic" w:cs="Arial"/>
          <w:sz w:val="22"/>
        </w:rPr>
        <w:t xml:space="preserve"> </w:t>
      </w:r>
      <w:r w:rsidR="00F00DD1" w:rsidRPr="00E55C4C">
        <w:rPr>
          <w:rFonts w:ascii="Century Gothic" w:hAnsi="Century Gothic" w:cs="Arial"/>
          <w:sz w:val="22"/>
        </w:rPr>
        <w:t xml:space="preserve">and THN </w:t>
      </w:r>
      <w:r w:rsidRPr="00E55C4C">
        <w:rPr>
          <w:rFonts w:ascii="Century Gothic" w:hAnsi="Century Gothic" w:cs="Arial"/>
          <w:sz w:val="22"/>
        </w:rPr>
        <w:t>outcomes data.</w:t>
      </w:r>
    </w:p>
    <w:p w14:paraId="3199BA0B" w14:textId="23B86B45" w:rsidR="00B44747" w:rsidRPr="00E55C4C" w:rsidRDefault="00521CB5" w:rsidP="00A6206E">
      <w:pPr>
        <w:spacing w:before="0" w:after="160" w:line="259" w:lineRule="auto"/>
        <w:jc w:val="left"/>
        <w:rPr>
          <w:rFonts w:ascii="Century Gothic" w:hAnsi="Century Gothic" w:cs="Arial"/>
          <w:color w:val="77C29C" w:themeColor="accent2"/>
          <w:szCs w:val="24"/>
        </w:rPr>
      </w:pPr>
      <w:bookmarkStart w:id="4" w:name="_Appendix_A:_Pharmacy"/>
      <w:bookmarkEnd w:id="4"/>
      <w:r w:rsidRPr="00E55C4C">
        <w:rPr>
          <w:rFonts w:ascii="Century Gothic" w:hAnsi="Century Gothic" w:cs="Arial"/>
          <w:color w:val="77C29C" w:themeColor="accent2"/>
          <w:szCs w:val="24"/>
          <w:highlight w:val="yellow"/>
        </w:rPr>
        <w:br w:type="page"/>
      </w:r>
      <w:r w:rsidR="00B75CEE" w:rsidRPr="00E55C4C">
        <w:rPr>
          <w:rFonts w:ascii="Century Gothic" w:hAnsi="Century Gothic" w:cs="Arial"/>
          <w:color w:val="77C29C" w:themeColor="accent2"/>
          <w:szCs w:val="24"/>
        </w:rPr>
        <w:t xml:space="preserve">Appendix A: </w:t>
      </w:r>
      <w:r w:rsidR="00B44747" w:rsidRPr="00E55C4C">
        <w:rPr>
          <w:rFonts w:ascii="Century Gothic" w:hAnsi="Century Gothic"/>
          <w:color w:val="77C29C" w:themeColor="accent2"/>
          <w:szCs w:val="24"/>
        </w:rPr>
        <w:t>Community Pharmacy Competency Assessment Form</w:t>
      </w:r>
    </w:p>
    <w:p w14:paraId="718318CD" w14:textId="77777777" w:rsidR="00B44747" w:rsidRPr="00E55C4C" w:rsidRDefault="00B44747" w:rsidP="00B44747">
      <w:pPr>
        <w:rPr>
          <w:rFonts w:ascii="Century Gothic" w:hAnsi="Century Gothic"/>
          <w:b/>
          <w:bCs/>
          <w:sz w:val="22"/>
        </w:rPr>
      </w:pPr>
    </w:p>
    <w:tbl>
      <w:tblPr>
        <w:tblStyle w:val="TableGrid"/>
        <w:tblW w:w="10768" w:type="dxa"/>
        <w:tblBorders>
          <w:top w:val="single" w:sz="4" w:space="0" w:color="77C29C" w:themeColor="accent2"/>
          <w:left w:val="single" w:sz="4" w:space="0" w:color="77C29C" w:themeColor="accent2"/>
          <w:bottom w:val="single" w:sz="4" w:space="0" w:color="77C29C" w:themeColor="accent2"/>
          <w:right w:val="single" w:sz="4" w:space="0" w:color="77C29C" w:themeColor="accent2"/>
          <w:insideH w:val="single" w:sz="4" w:space="0" w:color="77C29C" w:themeColor="accent2"/>
          <w:insideV w:val="single" w:sz="4" w:space="0" w:color="77C29C" w:themeColor="accent2"/>
        </w:tblBorders>
        <w:tblLook w:val="04A0" w:firstRow="1" w:lastRow="0" w:firstColumn="1" w:lastColumn="0" w:noHBand="0" w:noVBand="1"/>
      </w:tblPr>
      <w:tblGrid>
        <w:gridCol w:w="817"/>
        <w:gridCol w:w="4423"/>
        <w:gridCol w:w="992"/>
        <w:gridCol w:w="4536"/>
      </w:tblGrid>
      <w:tr w:rsidR="00B44747" w:rsidRPr="00E55C4C" w14:paraId="7AB33E9F" w14:textId="77777777" w:rsidTr="00E55C4C">
        <w:trPr>
          <w:trHeight w:val="253"/>
        </w:trPr>
        <w:tc>
          <w:tcPr>
            <w:tcW w:w="817" w:type="dxa"/>
            <w:shd w:val="clear" w:color="auto" w:fill="F2F2F2" w:themeFill="background1" w:themeFillShade="F2"/>
            <w:vAlign w:val="center"/>
          </w:tcPr>
          <w:p w14:paraId="4D5B6463" w14:textId="77777777" w:rsidR="00B44747" w:rsidRPr="00E55C4C" w:rsidRDefault="00B44747">
            <w:pPr>
              <w:rPr>
                <w:rFonts w:ascii="Century Gothic" w:hAnsi="Century Gothic"/>
                <w:b/>
                <w:bCs/>
                <w:sz w:val="20"/>
              </w:rPr>
            </w:pPr>
            <w:r w:rsidRPr="00E55C4C">
              <w:rPr>
                <w:rFonts w:ascii="Century Gothic" w:hAnsi="Century Gothic"/>
                <w:b/>
                <w:bCs/>
                <w:sz w:val="20"/>
              </w:rPr>
              <w:t>Name</w:t>
            </w:r>
          </w:p>
        </w:tc>
        <w:tc>
          <w:tcPr>
            <w:tcW w:w="4423" w:type="dxa"/>
            <w:vAlign w:val="center"/>
          </w:tcPr>
          <w:p w14:paraId="462703CE" w14:textId="77777777" w:rsidR="00B44747" w:rsidRPr="00E55C4C" w:rsidRDefault="00B44747">
            <w:pPr>
              <w:rPr>
                <w:rFonts w:ascii="Century Gothic" w:hAnsi="Century Gothic"/>
                <w:b/>
                <w:bCs/>
                <w:sz w:val="20"/>
              </w:rPr>
            </w:pPr>
          </w:p>
        </w:tc>
        <w:tc>
          <w:tcPr>
            <w:tcW w:w="992" w:type="dxa"/>
            <w:shd w:val="clear" w:color="auto" w:fill="F2F2F2" w:themeFill="background1" w:themeFillShade="F2"/>
          </w:tcPr>
          <w:p w14:paraId="61C9C782" w14:textId="77777777" w:rsidR="00B44747" w:rsidRPr="00E55C4C" w:rsidRDefault="00B44747">
            <w:pPr>
              <w:rPr>
                <w:rFonts w:ascii="Century Gothic" w:hAnsi="Century Gothic"/>
                <w:b/>
                <w:bCs/>
                <w:sz w:val="20"/>
              </w:rPr>
            </w:pPr>
            <w:r w:rsidRPr="00E55C4C">
              <w:rPr>
                <w:rFonts w:ascii="Century Gothic" w:hAnsi="Century Gothic"/>
                <w:b/>
                <w:bCs/>
                <w:sz w:val="20"/>
              </w:rPr>
              <w:t>Position</w:t>
            </w:r>
          </w:p>
        </w:tc>
        <w:tc>
          <w:tcPr>
            <w:tcW w:w="4536" w:type="dxa"/>
          </w:tcPr>
          <w:p w14:paraId="14F79F9E" w14:textId="77777777" w:rsidR="00B44747" w:rsidRPr="00E55C4C" w:rsidRDefault="00B44747">
            <w:pPr>
              <w:rPr>
                <w:rFonts w:ascii="Century Gothic" w:hAnsi="Century Gothic"/>
                <w:b/>
                <w:bCs/>
                <w:sz w:val="20"/>
              </w:rPr>
            </w:pPr>
          </w:p>
        </w:tc>
      </w:tr>
    </w:tbl>
    <w:p w14:paraId="49764BE1" w14:textId="77777777" w:rsidR="00B44747" w:rsidRPr="00E55C4C" w:rsidRDefault="00B44747" w:rsidP="00B44747">
      <w:pPr>
        <w:rPr>
          <w:rFonts w:ascii="Century Gothic" w:hAnsi="Century Gothic"/>
          <w:b/>
          <w:bCs/>
          <w:sz w:val="20"/>
          <w:szCs w:val="20"/>
        </w:rPr>
      </w:pPr>
    </w:p>
    <w:tbl>
      <w:tblPr>
        <w:tblStyle w:val="TableGrid"/>
        <w:tblW w:w="10774" w:type="dxa"/>
        <w:tblInd w:w="-5" w:type="dxa"/>
        <w:tblLook w:val="04A0" w:firstRow="1" w:lastRow="0" w:firstColumn="1" w:lastColumn="0" w:noHBand="0" w:noVBand="1"/>
      </w:tblPr>
      <w:tblGrid>
        <w:gridCol w:w="9870"/>
        <w:gridCol w:w="904"/>
      </w:tblGrid>
      <w:tr w:rsidR="00B44747" w:rsidRPr="00E55C4C" w14:paraId="78967931"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shd w:val="clear" w:color="auto" w:fill="F2F2F2" w:themeFill="background1" w:themeFillShade="F2"/>
          </w:tcPr>
          <w:p w14:paraId="5A49C2CA" w14:textId="77777777" w:rsidR="00B44747" w:rsidRPr="00E55C4C" w:rsidRDefault="00B44747">
            <w:pPr>
              <w:spacing w:before="0"/>
              <w:rPr>
                <w:rFonts w:ascii="Century Gothic" w:hAnsi="Century Gothic"/>
                <w:sz w:val="20"/>
              </w:rPr>
            </w:pPr>
            <w:r w:rsidRPr="00E55C4C">
              <w:rPr>
                <w:rFonts w:ascii="Century Gothic" w:hAnsi="Century Gothic"/>
                <w:b/>
                <w:bCs/>
                <w:sz w:val="20"/>
              </w:rPr>
              <w:t>Assessment Criteria</w:t>
            </w:r>
          </w:p>
        </w:tc>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shd w:val="clear" w:color="auto" w:fill="F2F2F2" w:themeFill="background1" w:themeFillShade="F2"/>
          </w:tcPr>
          <w:p w14:paraId="5AC2A73B"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Check</w:t>
            </w:r>
          </w:p>
        </w:tc>
      </w:tr>
      <w:tr w:rsidR="00B44747" w:rsidRPr="00E55C4C" w14:paraId="77F6A73B"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FB4492F" w14:textId="77777777" w:rsidR="00B44747" w:rsidRPr="00E55C4C" w:rsidRDefault="00B44747">
            <w:pPr>
              <w:spacing w:before="0"/>
              <w:rPr>
                <w:rFonts w:ascii="Century Gothic" w:hAnsi="Century Gothic"/>
                <w:sz w:val="20"/>
              </w:rPr>
            </w:pPr>
            <w:r w:rsidRPr="00E55C4C">
              <w:rPr>
                <w:rFonts w:ascii="Century Gothic" w:hAnsi="Century Gothic"/>
                <w:b/>
                <w:bCs/>
                <w:sz w:val="20"/>
              </w:rPr>
              <w:t>Understands what naloxone does</w:t>
            </w:r>
            <w:r w:rsidRPr="00E55C4C">
              <w:rPr>
                <w:rFonts w:ascii="Century Gothic" w:hAnsi="Century Gothic"/>
                <w:sz w:val="20"/>
              </w:rPr>
              <w:t xml:space="preserve"> (temporarily reverses the effects of opioids for about 20mins, buys time for ambulance to arrive, not a ‘safety net’, overdose may return, especially if using again, used to help save lives, does not reverse other drugs e.g. alcohol or benzos)</w:t>
            </w:r>
          </w:p>
        </w:tc>
        <w:sdt>
          <w:sdtPr>
            <w:rPr>
              <w:rFonts w:ascii="Century Gothic" w:hAnsi="Century Gothic"/>
              <w:sz w:val="20"/>
            </w:rPr>
            <w:id w:val="405346729"/>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26857A3"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E951EFF"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4C7A8A48" w14:textId="77777777" w:rsidR="00B44747" w:rsidRPr="00E55C4C" w:rsidRDefault="00B44747">
            <w:pPr>
              <w:spacing w:before="0"/>
              <w:rPr>
                <w:rFonts w:ascii="Century Gothic" w:hAnsi="Century Gothic"/>
                <w:sz w:val="20"/>
              </w:rPr>
            </w:pPr>
            <w:r w:rsidRPr="00E55C4C">
              <w:rPr>
                <w:rFonts w:ascii="Century Gothic" w:hAnsi="Century Gothic"/>
                <w:b/>
                <w:bCs/>
                <w:sz w:val="20"/>
              </w:rPr>
              <w:t>Identifies symptoms of opioid overdose</w:t>
            </w:r>
            <w:r w:rsidRPr="00E55C4C">
              <w:rPr>
                <w:rFonts w:ascii="Century Gothic" w:hAnsi="Century Gothic"/>
                <w:sz w:val="20"/>
              </w:rPr>
              <w:t xml:space="preserve"> (e.g. pinpoint pupils, colour changes, unconscious, unresponsive to noise/touch, breathing problems</w:t>
            </w:r>
            <w:proofErr w:type="gramStart"/>
            <w:r w:rsidRPr="00E55C4C">
              <w:rPr>
                <w:rFonts w:ascii="Century Gothic" w:hAnsi="Century Gothic"/>
                <w:sz w:val="20"/>
              </w:rPr>
              <w:t>/‘</w:t>
            </w:r>
            <w:proofErr w:type="gramEnd"/>
            <w:r w:rsidRPr="00E55C4C">
              <w:rPr>
                <w:rFonts w:ascii="Century Gothic" w:hAnsi="Century Gothic"/>
                <w:sz w:val="20"/>
              </w:rPr>
              <w:t>snoring’, blue tinge to lips/nose/fingertips)</w:t>
            </w:r>
          </w:p>
        </w:tc>
        <w:sdt>
          <w:sdtPr>
            <w:rPr>
              <w:rFonts w:ascii="Century Gothic" w:hAnsi="Century Gothic"/>
              <w:sz w:val="20"/>
            </w:rPr>
            <w:id w:val="-1214497822"/>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417C2B4"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C246885"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9D311E6" w14:textId="77777777" w:rsidR="00B44747" w:rsidRPr="00E55C4C" w:rsidRDefault="00B44747">
            <w:pPr>
              <w:spacing w:before="0"/>
              <w:rPr>
                <w:rFonts w:ascii="Century Gothic" w:hAnsi="Century Gothic"/>
                <w:sz w:val="20"/>
              </w:rPr>
            </w:pPr>
            <w:r w:rsidRPr="00E55C4C">
              <w:rPr>
                <w:rFonts w:ascii="Century Gothic" w:hAnsi="Century Gothic"/>
                <w:b/>
                <w:bCs/>
                <w:sz w:val="20"/>
              </w:rPr>
              <w:t>Identifies causes of drug overdose</w:t>
            </w:r>
            <w:r w:rsidRPr="00E55C4C">
              <w:rPr>
                <w:rFonts w:ascii="Century Gothic" w:hAnsi="Century Gothic"/>
                <w:sz w:val="20"/>
              </w:rPr>
              <w:t xml:space="preserve"> (e.g. polypharmacy, lack of tolerance including post prison release/detox/hospital discharge, using alone/too much, injecting, changes in purity, poor health)</w:t>
            </w:r>
          </w:p>
        </w:tc>
        <w:sdt>
          <w:sdtPr>
            <w:rPr>
              <w:rFonts w:ascii="Century Gothic" w:hAnsi="Century Gothic"/>
              <w:sz w:val="20"/>
            </w:rPr>
            <w:id w:val="227265268"/>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16288BB"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7DBD786"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BCA7016"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Outlines actions to take if witnessing a suspected opioid overdose</w:t>
            </w:r>
          </w:p>
          <w:p w14:paraId="603AD78E"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Keep self/others safe</w:t>
            </w:r>
          </w:p>
          <w:p w14:paraId="4C6C3B13"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Identify symptoms of possible opioid overdose. Place into recovery position if breathing</w:t>
            </w:r>
          </w:p>
          <w:p w14:paraId="6F233598"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Dial 999 for an ambulance</w:t>
            </w:r>
          </w:p>
          <w:p w14:paraId="34CC056D"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Administer naloxone (first dose)</w:t>
            </w:r>
          </w:p>
          <w:p w14:paraId="11F8EE28"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If not breathing administer basic life support (BLS)/cardio-pulmonary resuscitation (CPR)</w:t>
            </w:r>
          </w:p>
          <w:p w14:paraId="15D539EB"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Monitor and give further dose(s) if no response after every 2 mins and continue with BLS/CPR</w:t>
            </w:r>
          </w:p>
          <w:p w14:paraId="301BA77E" w14:textId="77777777"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Do not leave the person. Inform ambulance service about action taken</w:t>
            </w:r>
          </w:p>
          <w:p w14:paraId="2FF54C50" w14:textId="73CB035E" w:rsidR="00B44747" w:rsidRPr="00E55C4C" w:rsidRDefault="00B44747" w:rsidP="00B44747">
            <w:pPr>
              <w:pStyle w:val="ListParagraph"/>
              <w:numPr>
                <w:ilvl w:val="0"/>
                <w:numId w:val="28"/>
              </w:numPr>
              <w:spacing w:before="0"/>
              <w:ind w:left="453"/>
              <w:contextualSpacing/>
              <w:jc w:val="left"/>
              <w:rPr>
                <w:rFonts w:ascii="Century Gothic" w:hAnsi="Century Gothic"/>
                <w:sz w:val="20"/>
              </w:rPr>
            </w:pPr>
            <w:r w:rsidRPr="00E55C4C">
              <w:rPr>
                <w:rFonts w:ascii="Century Gothic" w:hAnsi="Century Gothic"/>
                <w:sz w:val="20"/>
              </w:rPr>
              <w:t>Dispose of used naloxone pack(s) correctly (</w:t>
            </w:r>
            <w:proofErr w:type="spellStart"/>
            <w:r w:rsidRPr="00E55C4C">
              <w:rPr>
                <w:rFonts w:ascii="Century Gothic" w:hAnsi="Century Gothic"/>
                <w:sz w:val="20"/>
              </w:rPr>
              <w:t>Nyxoid</w:t>
            </w:r>
            <w:proofErr w:type="spellEnd"/>
            <w:r w:rsidRPr="00E55C4C">
              <w:rPr>
                <w:rFonts w:ascii="Century Gothic" w:hAnsi="Century Gothic"/>
                <w:sz w:val="20"/>
              </w:rPr>
              <w:t>® in clinical waste bin)</w:t>
            </w:r>
          </w:p>
        </w:tc>
        <w:sdt>
          <w:sdtPr>
            <w:rPr>
              <w:rFonts w:ascii="Century Gothic" w:hAnsi="Century Gothic"/>
              <w:sz w:val="20"/>
            </w:rPr>
            <w:id w:val="1384531432"/>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707D7419"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C728D1" w:rsidRPr="00E55C4C" w14:paraId="25320687"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9BD1913" w14:textId="3DC4029B" w:rsidR="00C728D1" w:rsidRPr="00C728D1" w:rsidRDefault="00C728D1">
            <w:pPr>
              <w:spacing w:before="0"/>
              <w:rPr>
                <w:rFonts w:ascii="Century Gothic" w:hAnsi="Century Gothic"/>
                <w:b/>
                <w:bCs/>
                <w:sz w:val="20"/>
              </w:rPr>
            </w:pPr>
            <w:r w:rsidRPr="00637E7D">
              <w:rPr>
                <w:rFonts w:ascii="Century Gothic" w:hAnsi="Century Gothic" w:cs="Poppins"/>
                <w:b/>
                <w:bCs/>
                <w:sz w:val="20"/>
              </w:rPr>
              <w:t xml:space="preserve">Demonstrates how to use </w:t>
            </w:r>
            <w:proofErr w:type="spellStart"/>
            <w:r w:rsidRPr="00637E7D">
              <w:rPr>
                <w:rFonts w:ascii="Century Gothic" w:hAnsi="Century Gothic" w:cs="Poppins"/>
                <w:b/>
                <w:bCs/>
                <w:sz w:val="20"/>
              </w:rPr>
              <w:t>Prenoxad</w:t>
            </w:r>
            <w:proofErr w:type="spellEnd"/>
            <w:r w:rsidRPr="00637E7D">
              <w:rPr>
                <w:rFonts w:ascii="Century Gothic" w:hAnsi="Century Gothic" w:cs="Poppins"/>
                <w:b/>
                <w:bCs/>
                <w:sz w:val="20"/>
              </w:rPr>
              <w:t>® injection</w:t>
            </w:r>
            <w:r w:rsidRPr="00637E7D">
              <w:rPr>
                <w:rFonts w:ascii="Century Gothic" w:hAnsi="Century Gothic" w:cs="Poppins"/>
                <w:sz w:val="20"/>
              </w:rPr>
              <w:t xml:space="preserve"> (1mg/ml; 0.4ml (up to the first black line) from 2ml pre-filled syringe, immediately into outer thigh/upper arm muscle, can be through clothes, repeat every 2 minutes if needed)</w:t>
            </w:r>
          </w:p>
        </w:tc>
        <w:sdt>
          <w:sdtPr>
            <w:rPr>
              <w:rFonts w:ascii="Century Gothic" w:hAnsi="Century Gothic"/>
              <w:sz w:val="20"/>
            </w:rPr>
            <w:id w:val="-2114043758"/>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67798E9" w14:textId="3EC8B438" w:rsidR="00C728D1" w:rsidRDefault="00C728D1">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7EF73802"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71767F" w14:textId="77777777" w:rsidR="00B44747" w:rsidRDefault="00B44747">
            <w:pPr>
              <w:spacing w:before="0"/>
              <w:contextualSpacing/>
              <w:rPr>
                <w:rFonts w:ascii="Century Gothic" w:hAnsi="Century Gothic"/>
                <w:sz w:val="20"/>
              </w:rPr>
            </w:pPr>
            <w:r w:rsidRPr="00E55C4C">
              <w:rPr>
                <w:rFonts w:ascii="Century Gothic" w:hAnsi="Century Gothic"/>
                <w:b/>
                <w:bCs/>
                <w:sz w:val="20"/>
              </w:rPr>
              <w:t xml:space="preserve">Demonstrates how to use </w:t>
            </w:r>
            <w:proofErr w:type="spellStart"/>
            <w:r w:rsidRPr="00E55C4C">
              <w:rPr>
                <w:rFonts w:ascii="Century Gothic" w:hAnsi="Century Gothic"/>
                <w:b/>
                <w:bCs/>
                <w:sz w:val="20"/>
              </w:rPr>
              <w:t>Nyxoid</w:t>
            </w:r>
            <w:proofErr w:type="spellEnd"/>
            <w:r w:rsidRPr="00E55C4C">
              <w:rPr>
                <w:rFonts w:ascii="Century Gothic" w:hAnsi="Century Gothic"/>
                <w:b/>
                <w:bCs/>
                <w:sz w:val="20"/>
              </w:rPr>
              <w:t xml:space="preserve">® nasal spray </w:t>
            </w:r>
            <w:r w:rsidRPr="00E55C4C">
              <w:rPr>
                <w:rFonts w:ascii="Century Gothic" w:hAnsi="Century Gothic"/>
                <w:sz w:val="20"/>
              </w:rPr>
              <w:t>(1.8mg; 1 spray from single use container, immediately into the nostril, repeat every 2 minutes if needed, alternating nostrils)</w:t>
            </w:r>
          </w:p>
          <w:p w14:paraId="6EDFC7C4" w14:textId="434CD8B2" w:rsidR="00A70143" w:rsidRPr="00A70143" w:rsidRDefault="00A70143">
            <w:pPr>
              <w:spacing w:before="0"/>
              <w:contextualSpacing/>
              <w:rPr>
                <w:rFonts w:ascii="Century Gothic" w:hAnsi="Century Gothic"/>
                <w:sz w:val="20"/>
              </w:rPr>
            </w:pPr>
            <w:r w:rsidRPr="00A70143">
              <w:rPr>
                <w:rFonts w:ascii="Century Gothic" w:hAnsi="Century Gothic" w:cs="Poppins"/>
                <w:b/>
                <w:bCs/>
                <w:sz w:val="20"/>
              </w:rPr>
              <w:t>Naloxone 1.26mg</w:t>
            </w:r>
            <w:r w:rsidRPr="00A70143">
              <w:rPr>
                <w:rFonts w:ascii="Century Gothic" w:hAnsi="Century Gothic" w:cs="Poppins"/>
                <w:b/>
                <w:sz w:val="20"/>
              </w:rPr>
              <w:t xml:space="preserve"> nasal spray (Pebble) (</w:t>
            </w:r>
            <w:r w:rsidRPr="00A70143">
              <w:rPr>
                <w:rFonts w:ascii="Century Gothic" w:hAnsi="Century Gothic" w:cs="Poppins"/>
                <w:sz w:val="20"/>
              </w:rPr>
              <w:t>1.26mg;1 spray from single use container, immediately into the nostril, repeat every 2 minutes if needed, alternating nostrils)</w:t>
            </w:r>
          </w:p>
        </w:tc>
        <w:sdt>
          <w:sdtPr>
            <w:rPr>
              <w:rFonts w:ascii="Century Gothic" w:hAnsi="Century Gothic"/>
              <w:sz w:val="20"/>
            </w:rPr>
            <w:id w:val="-965038213"/>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9FFA204"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15921C4C" w14:textId="77777777" w:rsidTr="0030663C">
        <w:trPr>
          <w:trHeight w:val="5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D2CACA5"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Knows how to open the pack and knows not to do so except for emergency use</w:t>
            </w:r>
          </w:p>
        </w:tc>
        <w:sdt>
          <w:sdtPr>
            <w:rPr>
              <w:rFonts w:ascii="Century Gothic" w:hAnsi="Century Gothic"/>
              <w:sz w:val="20"/>
            </w:rPr>
            <w:id w:val="-59635531"/>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5E822F6"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724657A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21545CCA" w14:textId="77777777" w:rsidR="00B44747" w:rsidRPr="00E55C4C" w:rsidRDefault="00B44747">
            <w:pPr>
              <w:spacing w:before="0"/>
              <w:rPr>
                <w:rFonts w:ascii="Century Gothic" w:hAnsi="Century Gothic"/>
                <w:sz w:val="20"/>
              </w:rPr>
            </w:pPr>
            <w:r w:rsidRPr="00E55C4C">
              <w:rPr>
                <w:rFonts w:ascii="Century Gothic" w:hAnsi="Century Gothic"/>
                <w:b/>
                <w:bCs/>
                <w:sz w:val="20"/>
              </w:rPr>
              <w:t>Aware of safe storage requirements</w:t>
            </w:r>
            <w:r w:rsidRPr="00E55C4C">
              <w:rPr>
                <w:rFonts w:ascii="Century Gothic" w:hAnsi="Century Gothic"/>
                <w:sz w:val="20"/>
              </w:rPr>
              <w:t xml:space="preserve"> (out of sight and reach of children/pets, informing competent others of where supply is located)</w:t>
            </w:r>
          </w:p>
        </w:tc>
        <w:sdt>
          <w:sdtPr>
            <w:rPr>
              <w:rFonts w:ascii="Century Gothic" w:hAnsi="Century Gothic"/>
              <w:sz w:val="20"/>
            </w:rPr>
            <w:id w:val="-767696243"/>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78684E"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499CBD27"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F9D3095" w14:textId="77777777" w:rsidR="00B44747" w:rsidRPr="00E55C4C" w:rsidRDefault="00B44747">
            <w:pPr>
              <w:spacing w:before="0"/>
              <w:rPr>
                <w:rFonts w:ascii="Century Gothic" w:hAnsi="Century Gothic"/>
                <w:sz w:val="20"/>
              </w:rPr>
            </w:pPr>
            <w:r w:rsidRPr="00E55C4C">
              <w:rPr>
                <w:rFonts w:ascii="Century Gothic" w:hAnsi="Century Gothic"/>
                <w:b/>
                <w:bCs/>
                <w:sz w:val="20"/>
              </w:rPr>
              <w:t>Knows to dispose of unwanted/expired packs of naloxone</w:t>
            </w:r>
            <w:r w:rsidRPr="00E55C4C">
              <w:rPr>
                <w:rFonts w:ascii="Century Gothic" w:hAnsi="Century Gothic"/>
                <w:sz w:val="20"/>
              </w:rPr>
              <w:t xml:space="preserve"> (in pharmaceutical waste bin)</w:t>
            </w:r>
          </w:p>
        </w:tc>
        <w:sdt>
          <w:sdtPr>
            <w:rPr>
              <w:rFonts w:ascii="Century Gothic" w:hAnsi="Century Gothic"/>
              <w:sz w:val="20"/>
            </w:rPr>
            <w:id w:val="1813913531"/>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C5D7D4D"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24624149"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D115444" w14:textId="77777777" w:rsidR="00B44747" w:rsidRPr="00E55C4C" w:rsidRDefault="00B44747">
            <w:pPr>
              <w:spacing w:before="0"/>
              <w:rPr>
                <w:rFonts w:ascii="Century Gothic" w:hAnsi="Century Gothic"/>
                <w:sz w:val="20"/>
              </w:rPr>
            </w:pPr>
            <w:r w:rsidRPr="00E55C4C">
              <w:rPr>
                <w:rFonts w:ascii="Century Gothic" w:hAnsi="Century Gothic"/>
                <w:b/>
                <w:bCs/>
                <w:sz w:val="20"/>
              </w:rPr>
              <w:t>Knows to dispose of used packs of naloxone</w:t>
            </w:r>
            <w:r w:rsidRPr="00E55C4C">
              <w:rPr>
                <w:rFonts w:ascii="Century Gothic" w:hAnsi="Century Gothic"/>
                <w:sz w:val="20"/>
              </w:rPr>
              <w:t xml:space="preserve"> (</w:t>
            </w:r>
            <w:proofErr w:type="spellStart"/>
            <w:r w:rsidRPr="00E55C4C">
              <w:rPr>
                <w:rFonts w:ascii="Century Gothic" w:hAnsi="Century Gothic"/>
                <w:sz w:val="20"/>
              </w:rPr>
              <w:t>Nyxoid</w:t>
            </w:r>
            <w:proofErr w:type="spellEnd"/>
            <w:r w:rsidRPr="00E55C4C">
              <w:rPr>
                <w:rFonts w:ascii="Century Gothic" w:hAnsi="Century Gothic"/>
                <w:sz w:val="20"/>
              </w:rPr>
              <w:t xml:space="preserve">® in clinical waste bin, </w:t>
            </w:r>
            <w:proofErr w:type="spellStart"/>
            <w:r w:rsidRPr="00E55C4C">
              <w:rPr>
                <w:rFonts w:ascii="Century Gothic" w:hAnsi="Century Gothic"/>
                <w:sz w:val="20"/>
              </w:rPr>
              <w:t>Prenoxad</w:t>
            </w:r>
            <w:proofErr w:type="spellEnd"/>
            <w:r w:rsidRPr="00E55C4C">
              <w:rPr>
                <w:rFonts w:ascii="Century Gothic" w:hAnsi="Century Gothic"/>
                <w:sz w:val="20"/>
              </w:rPr>
              <w:t>® in the original container then a sharps bin: can be given to paramedics/local needle syringe provision)</w:t>
            </w:r>
          </w:p>
        </w:tc>
        <w:sdt>
          <w:sdtPr>
            <w:rPr>
              <w:rFonts w:ascii="Century Gothic" w:hAnsi="Century Gothic"/>
              <w:sz w:val="20"/>
            </w:rPr>
            <w:id w:val="581560690"/>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CDA790A"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EAB2846"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686F6063"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Knows about reminders for expiry dates/getting replacement packs</w:t>
            </w:r>
            <w:r w:rsidRPr="00E55C4C">
              <w:rPr>
                <w:rFonts w:ascii="Century Gothic" w:hAnsi="Century Gothic"/>
                <w:sz w:val="20"/>
              </w:rPr>
              <w:t xml:space="preserve"> (checking dates, returning to service before expiry, should return with old pack)</w:t>
            </w:r>
          </w:p>
        </w:tc>
        <w:sdt>
          <w:sdtPr>
            <w:rPr>
              <w:rFonts w:ascii="Century Gothic" w:hAnsi="Century Gothic"/>
              <w:sz w:val="20"/>
            </w:rPr>
            <w:id w:val="1506247231"/>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3D1B220"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5B2DC17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734FD8A" w14:textId="77777777" w:rsidR="00B44747" w:rsidRPr="00E55C4C" w:rsidRDefault="00B44747">
            <w:pPr>
              <w:spacing w:before="0"/>
              <w:rPr>
                <w:rFonts w:ascii="Century Gothic" w:hAnsi="Century Gothic"/>
                <w:b/>
                <w:bCs/>
                <w:sz w:val="20"/>
              </w:rPr>
            </w:pPr>
            <w:r w:rsidRPr="00E55C4C">
              <w:rPr>
                <w:rFonts w:ascii="Century Gothic" w:hAnsi="Century Gothic"/>
                <w:b/>
                <w:bCs/>
                <w:sz w:val="20"/>
              </w:rPr>
              <w:t>Can access information leaflets/training resources</w:t>
            </w:r>
          </w:p>
          <w:p w14:paraId="2BCAC6C0" w14:textId="78FF4517" w:rsidR="00B44747" w:rsidRPr="0027007C" w:rsidRDefault="00B44747" w:rsidP="007C74E8">
            <w:pPr>
              <w:pStyle w:val="ListParagraph"/>
              <w:numPr>
                <w:ilvl w:val="0"/>
                <w:numId w:val="29"/>
              </w:numPr>
              <w:spacing w:before="0"/>
              <w:contextualSpacing/>
              <w:jc w:val="left"/>
              <w:rPr>
                <w:rFonts w:ascii="Century Gothic" w:hAnsi="Century Gothic"/>
                <w:sz w:val="20"/>
              </w:rPr>
            </w:pPr>
            <w:hyperlink r:id="rId29" w:history="1">
              <w:r w:rsidRPr="00E55C4C">
                <w:rPr>
                  <w:rStyle w:val="Hyperlink"/>
                  <w:rFonts w:ascii="Century Gothic" w:eastAsiaTheme="majorEastAsia" w:hAnsi="Century Gothic"/>
                  <w:sz w:val="20"/>
                  <w:lang w:val="en-US"/>
                </w:rPr>
                <w:t>https://www.smmgp-elearning.org.uk/</w:t>
              </w:r>
            </w:hyperlink>
          </w:p>
          <w:p w14:paraId="1E8A2D9E" w14:textId="1570A935" w:rsidR="0027007C" w:rsidRPr="0027007C" w:rsidRDefault="0027007C" w:rsidP="0027007C">
            <w:pPr>
              <w:pStyle w:val="ListParagraph"/>
              <w:numPr>
                <w:ilvl w:val="0"/>
                <w:numId w:val="29"/>
              </w:numPr>
              <w:spacing w:before="0"/>
              <w:contextualSpacing/>
              <w:jc w:val="left"/>
              <w:rPr>
                <w:rStyle w:val="Hyperlink"/>
                <w:rFonts w:ascii="Poppins" w:hAnsi="Poppins" w:cs="Poppins"/>
                <w:sz w:val="22"/>
              </w:rPr>
            </w:pPr>
            <w:hyperlink r:id="rId30" w:history="1">
              <w:r w:rsidRPr="00FF2B32">
                <w:rPr>
                  <w:rStyle w:val="Hyperlink"/>
                  <w:rFonts w:ascii="Poppins" w:hAnsi="Poppins" w:cs="Poppins"/>
                  <w:sz w:val="22"/>
                </w:rPr>
                <w:t>http://www.prenoxadinjection.com/</w:t>
              </w:r>
            </w:hyperlink>
          </w:p>
          <w:p w14:paraId="1D377BC2" w14:textId="77777777" w:rsidR="00B44747" w:rsidRPr="00E55C4C" w:rsidRDefault="00B44747" w:rsidP="00B44747">
            <w:pPr>
              <w:pStyle w:val="ListParagraph"/>
              <w:numPr>
                <w:ilvl w:val="0"/>
                <w:numId w:val="29"/>
              </w:numPr>
              <w:spacing w:before="0"/>
              <w:contextualSpacing/>
              <w:jc w:val="left"/>
              <w:rPr>
                <w:rFonts w:ascii="Century Gothic" w:hAnsi="Century Gothic"/>
                <w:sz w:val="20"/>
              </w:rPr>
            </w:pPr>
            <w:hyperlink r:id="rId31" w:history="1">
              <w:r w:rsidRPr="00E55C4C">
                <w:rPr>
                  <w:rStyle w:val="Hyperlink"/>
                  <w:rFonts w:ascii="Century Gothic" w:eastAsiaTheme="majorEastAsia" w:hAnsi="Century Gothic"/>
                  <w:sz w:val="20"/>
                </w:rPr>
                <w:t>https://www.nyxoid.com/uk</w:t>
              </w:r>
            </w:hyperlink>
            <w:r w:rsidRPr="00E55C4C">
              <w:rPr>
                <w:rFonts w:ascii="Century Gothic" w:hAnsi="Century Gothic"/>
                <w:sz w:val="20"/>
              </w:rPr>
              <w:t xml:space="preserve"> </w:t>
            </w:r>
          </w:p>
        </w:tc>
        <w:sdt>
          <w:sdtPr>
            <w:rPr>
              <w:rFonts w:ascii="Century Gothic" w:hAnsi="Century Gothic"/>
              <w:sz w:val="20"/>
            </w:rPr>
            <w:id w:val="-177655642"/>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74938A4E"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B44747" w:rsidRPr="00E55C4C" w14:paraId="689B23F4"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0563675F" w14:textId="24DA7B5B" w:rsidR="00B44747" w:rsidRPr="00E55C4C" w:rsidRDefault="00B44747">
            <w:pPr>
              <w:spacing w:before="0"/>
              <w:rPr>
                <w:rFonts w:ascii="Century Gothic" w:hAnsi="Century Gothic"/>
                <w:sz w:val="20"/>
              </w:rPr>
            </w:pPr>
            <w:r w:rsidRPr="00E55C4C">
              <w:rPr>
                <w:rFonts w:ascii="Century Gothic" w:hAnsi="Century Gothic"/>
                <w:b/>
                <w:bCs/>
                <w:sz w:val="20"/>
              </w:rPr>
              <w:t xml:space="preserve">Demonstrates how to record a naloxone </w:t>
            </w:r>
            <w:r w:rsidR="007C74E8" w:rsidRPr="00E55C4C">
              <w:rPr>
                <w:rFonts w:ascii="Century Gothic" w:hAnsi="Century Gothic"/>
                <w:b/>
                <w:bCs/>
                <w:sz w:val="20"/>
              </w:rPr>
              <w:t>administration</w:t>
            </w:r>
            <w:r w:rsidRPr="00E55C4C">
              <w:rPr>
                <w:rFonts w:ascii="Century Gothic" w:hAnsi="Century Gothic"/>
                <w:sz w:val="20"/>
              </w:rPr>
              <w:t xml:space="preserve"> on </w:t>
            </w:r>
            <w:proofErr w:type="spellStart"/>
            <w:r w:rsidRPr="00E55C4C">
              <w:rPr>
                <w:rFonts w:ascii="Century Gothic" w:hAnsi="Century Gothic"/>
                <w:sz w:val="20"/>
              </w:rPr>
              <w:t>PharmOutcomes</w:t>
            </w:r>
            <w:proofErr w:type="spellEnd"/>
          </w:p>
        </w:tc>
        <w:sdt>
          <w:sdtPr>
            <w:rPr>
              <w:rFonts w:ascii="Century Gothic" w:hAnsi="Century Gothic"/>
              <w:sz w:val="20"/>
            </w:rPr>
            <w:id w:val="558523608"/>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51814E06" w14:textId="77777777" w:rsidR="00B44747" w:rsidRPr="00E55C4C" w:rsidRDefault="00B44747">
                <w:pPr>
                  <w:spacing w:before="0"/>
                  <w:rPr>
                    <w:rFonts w:ascii="Century Gothic" w:hAnsi="Century Gothic"/>
                    <w:sz w:val="20"/>
                  </w:rPr>
                </w:pPr>
                <w:r w:rsidRPr="00E55C4C">
                  <w:rPr>
                    <w:rFonts w:ascii="Segoe UI Symbol" w:hAnsi="Segoe UI Symbol" w:cs="Segoe UI Symbol"/>
                    <w:sz w:val="20"/>
                  </w:rPr>
                  <w:t>☐</w:t>
                </w:r>
              </w:p>
            </w:tc>
          </w:sdtContent>
        </w:sdt>
      </w:tr>
      <w:tr w:rsidR="00415FAF" w:rsidRPr="00E55C4C" w14:paraId="77E450D0" w14:textId="77777777" w:rsidTr="0030663C">
        <w:trPr>
          <w:trHeight w:val="300"/>
        </w:trPr>
        <w:tc>
          <w:tcPr>
            <w:tcW w:w="9870"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1F4BC6AE" w14:textId="36C3ED55" w:rsidR="00415FAF" w:rsidRPr="00A70143" w:rsidRDefault="001C0ABF">
            <w:pPr>
              <w:spacing w:before="0"/>
              <w:rPr>
                <w:rFonts w:ascii="Century Gothic" w:hAnsi="Century Gothic"/>
                <w:b/>
                <w:bCs/>
                <w:sz w:val="20"/>
              </w:rPr>
            </w:pPr>
            <w:r w:rsidRPr="00A70143">
              <w:rPr>
                <w:rFonts w:ascii="Century Gothic" w:hAnsi="Century Gothic" w:cs="Poppins"/>
                <w:b/>
                <w:bCs/>
                <w:sz w:val="20"/>
              </w:rPr>
              <w:t>Describes how to manage requests for young people</w:t>
            </w:r>
            <w:r w:rsidRPr="00A70143">
              <w:rPr>
                <w:rFonts w:ascii="Century Gothic" w:hAnsi="Century Gothic" w:cs="Poppins"/>
                <w:sz w:val="20"/>
              </w:rPr>
              <w:t xml:space="preserve"> (&lt;18yrs; by referring to Waythrough)</w:t>
            </w:r>
          </w:p>
        </w:tc>
        <w:sdt>
          <w:sdtPr>
            <w:rPr>
              <w:rFonts w:ascii="Century Gothic" w:hAnsi="Century Gothic"/>
              <w:sz w:val="20"/>
            </w:rPr>
            <w:id w:val="-1765369111"/>
            <w14:checkbox>
              <w14:checked w14:val="0"/>
              <w14:checkedState w14:val="2612" w14:font="MS Gothic"/>
              <w14:uncheckedState w14:val="2610" w14:font="MS Gothic"/>
            </w14:checkbox>
          </w:sdtPr>
          <w:sdtEndPr/>
          <w:sdtContent>
            <w:tc>
              <w:tcPr>
                <w:tcW w:w="904" w:type="dxa"/>
                <w:tcBorders>
                  <w:top w:val="single" w:sz="4" w:space="0" w:color="77C29C" w:themeColor="accent2"/>
                  <w:left w:val="single" w:sz="4" w:space="0" w:color="77C29C" w:themeColor="accent2"/>
                  <w:bottom w:val="single" w:sz="4" w:space="0" w:color="77C29C" w:themeColor="accent2"/>
                  <w:right w:val="single" w:sz="4" w:space="0" w:color="77C29C" w:themeColor="accent2"/>
                </w:tcBorders>
              </w:tcPr>
              <w:p w14:paraId="3911B89E" w14:textId="27778B97" w:rsidR="00415FAF" w:rsidRDefault="001C0ABF">
                <w:pPr>
                  <w:spacing w:before="0"/>
                  <w:rPr>
                    <w:rFonts w:ascii="Century Gothic" w:hAnsi="Century Gothic"/>
                    <w:sz w:val="20"/>
                  </w:rPr>
                </w:pPr>
                <w:r w:rsidRPr="00E55C4C">
                  <w:rPr>
                    <w:rFonts w:ascii="Segoe UI Symbol" w:hAnsi="Segoe UI Symbol" w:cs="Segoe UI Symbol"/>
                    <w:sz w:val="20"/>
                  </w:rPr>
                  <w:t>☐</w:t>
                </w:r>
              </w:p>
            </w:tc>
          </w:sdtContent>
        </w:sdt>
      </w:tr>
    </w:tbl>
    <w:p w14:paraId="78C9C669" w14:textId="77777777" w:rsidR="00B44747" w:rsidRPr="00E55C4C" w:rsidRDefault="00B44747" w:rsidP="00B44747">
      <w:pPr>
        <w:rPr>
          <w:rFonts w:ascii="Century Gothic" w:hAnsi="Century Gothic"/>
          <w:sz w:val="20"/>
          <w:szCs w:val="20"/>
        </w:rPr>
      </w:pPr>
    </w:p>
    <w:p w14:paraId="6FCDA03B" w14:textId="77777777" w:rsidR="00B44747" w:rsidRPr="00E55C4C" w:rsidRDefault="00B44747" w:rsidP="00B44747">
      <w:pPr>
        <w:rPr>
          <w:rFonts w:ascii="Century Gothic" w:hAnsi="Century Gothic"/>
          <w:sz w:val="20"/>
          <w:szCs w:val="20"/>
        </w:rPr>
      </w:pPr>
    </w:p>
    <w:tbl>
      <w:tblPr>
        <w:tblStyle w:val="TableGrid"/>
        <w:tblW w:w="10774" w:type="dxa"/>
        <w:jc w:val="center"/>
        <w:tblBorders>
          <w:top w:val="single" w:sz="4" w:space="0" w:color="599879"/>
          <w:left w:val="single" w:sz="4" w:space="0" w:color="599879"/>
          <w:bottom w:val="single" w:sz="4" w:space="0" w:color="599879"/>
          <w:right w:val="single" w:sz="4" w:space="0" w:color="599879"/>
          <w:insideH w:val="single" w:sz="4" w:space="0" w:color="599879"/>
          <w:insideV w:val="single" w:sz="4" w:space="0" w:color="599879"/>
        </w:tblBorders>
        <w:tblLook w:val="04A0" w:firstRow="1" w:lastRow="0" w:firstColumn="1" w:lastColumn="0" w:noHBand="0" w:noVBand="1"/>
      </w:tblPr>
      <w:tblGrid>
        <w:gridCol w:w="1812"/>
        <w:gridCol w:w="1708"/>
        <w:gridCol w:w="1527"/>
        <w:gridCol w:w="1541"/>
        <w:gridCol w:w="1402"/>
        <w:gridCol w:w="1241"/>
        <w:gridCol w:w="1543"/>
      </w:tblGrid>
      <w:tr w:rsidR="00704D3D" w:rsidRPr="00FF2B32" w14:paraId="31D97DF8" w14:textId="77777777" w:rsidTr="00704D3D">
        <w:trPr>
          <w:jc w:val="center"/>
        </w:trPr>
        <w:tc>
          <w:tcPr>
            <w:tcW w:w="1818" w:type="dxa"/>
            <w:vMerge w:val="restart"/>
            <w:shd w:val="clear" w:color="auto" w:fill="F2F2F2" w:themeFill="background1" w:themeFillShade="F2"/>
            <w:vAlign w:val="center"/>
          </w:tcPr>
          <w:p w14:paraId="24CEAE4B" w14:textId="77777777" w:rsidR="00704D3D" w:rsidRPr="00FF2B32" w:rsidRDefault="00704D3D" w:rsidP="00311EC4">
            <w:pPr>
              <w:jc w:val="center"/>
              <w:rPr>
                <w:rFonts w:ascii="Poppins" w:eastAsia="Calibri" w:hAnsi="Poppins" w:cs="Poppins"/>
                <w:i/>
                <w:iCs/>
                <w:sz w:val="22"/>
              </w:rPr>
            </w:pPr>
            <w:r w:rsidRPr="00FF2B32">
              <w:rPr>
                <w:rFonts w:ascii="Poppins" w:hAnsi="Poppins" w:cs="Poppins"/>
                <w:b/>
                <w:bCs/>
                <w:sz w:val="22"/>
              </w:rPr>
              <w:t xml:space="preserve">Competency </w:t>
            </w:r>
          </w:p>
          <w:p w14:paraId="280135C9" w14:textId="77777777" w:rsidR="00704D3D" w:rsidRPr="00FF2B32" w:rsidRDefault="00704D3D" w:rsidP="00311EC4">
            <w:pPr>
              <w:jc w:val="center"/>
              <w:rPr>
                <w:rFonts w:ascii="Poppins" w:eastAsia="Calibri" w:hAnsi="Poppins" w:cs="Poppins"/>
                <w:i/>
                <w:iCs/>
                <w:sz w:val="22"/>
              </w:rPr>
            </w:pPr>
            <w:r w:rsidRPr="00FF2B32">
              <w:rPr>
                <w:rFonts w:ascii="Poppins" w:eastAsia="Franklin Gothic Book" w:hAnsi="Poppins" w:cs="Poppins"/>
                <w:i/>
                <w:iCs/>
                <w:sz w:val="22"/>
              </w:rPr>
              <w:t>[complete as appropriate]</w:t>
            </w:r>
          </w:p>
        </w:tc>
        <w:tc>
          <w:tcPr>
            <w:tcW w:w="4862" w:type="dxa"/>
            <w:gridSpan w:val="3"/>
            <w:vAlign w:val="center"/>
          </w:tcPr>
          <w:p w14:paraId="51791EE2" w14:textId="77777777" w:rsidR="00704D3D" w:rsidRPr="00FF2B32" w:rsidRDefault="00704D3D" w:rsidP="00311EC4">
            <w:pPr>
              <w:jc w:val="center"/>
              <w:rPr>
                <w:rFonts w:ascii="Poppins" w:hAnsi="Poppins" w:cs="Poppins"/>
                <w:b/>
                <w:bCs/>
                <w:sz w:val="22"/>
              </w:rPr>
            </w:pPr>
            <w:proofErr w:type="spellStart"/>
            <w:r w:rsidRPr="00FF2B32">
              <w:rPr>
                <w:rFonts w:ascii="Poppins" w:hAnsi="Poppins" w:cs="Poppins"/>
                <w:b/>
                <w:bCs/>
                <w:sz w:val="22"/>
              </w:rPr>
              <w:t>Prenoxad</w:t>
            </w:r>
            <w:proofErr w:type="spellEnd"/>
            <w:r w:rsidRPr="00FF2B32">
              <w:rPr>
                <w:rFonts w:ascii="Poppins" w:hAnsi="Poppins" w:cs="Poppins"/>
                <w:b/>
                <w:bCs/>
                <w:sz w:val="22"/>
              </w:rPr>
              <w:t>®</w:t>
            </w:r>
          </w:p>
        </w:tc>
        <w:tc>
          <w:tcPr>
            <w:tcW w:w="4094" w:type="dxa"/>
            <w:gridSpan w:val="3"/>
            <w:shd w:val="clear" w:color="auto" w:fill="77C29C" w:themeFill="accent2"/>
            <w:vAlign w:val="center"/>
          </w:tcPr>
          <w:p w14:paraId="2EA2AD27" w14:textId="77777777" w:rsidR="00704D3D" w:rsidRPr="00FF2B32" w:rsidRDefault="00704D3D" w:rsidP="00311EC4">
            <w:pPr>
              <w:jc w:val="center"/>
              <w:rPr>
                <w:rFonts w:ascii="Poppins" w:hAnsi="Poppins" w:cs="Poppins"/>
                <w:b/>
                <w:bCs/>
                <w:sz w:val="22"/>
              </w:rPr>
            </w:pPr>
            <w:proofErr w:type="spellStart"/>
            <w:r w:rsidRPr="00FF2B32">
              <w:rPr>
                <w:rFonts w:ascii="Poppins" w:hAnsi="Poppins" w:cs="Poppins"/>
                <w:b/>
                <w:bCs/>
                <w:sz w:val="22"/>
              </w:rPr>
              <w:t>Nyxoid</w:t>
            </w:r>
            <w:proofErr w:type="spellEnd"/>
            <w:r w:rsidRPr="00FF2B32">
              <w:rPr>
                <w:rFonts w:ascii="Poppins" w:hAnsi="Poppins" w:cs="Poppins"/>
                <w:b/>
                <w:bCs/>
                <w:sz w:val="22"/>
              </w:rPr>
              <w:t>®/Naloxone 1.26mg nasal</w:t>
            </w:r>
          </w:p>
        </w:tc>
      </w:tr>
      <w:tr w:rsidR="00704D3D" w:rsidRPr="00FF2B32" w14:paraId="2018F2D8" w14:textId="77777777" w:rsidTr="00704D3D">
        <w:trPr>
          <w:jc w:val="center"/>
        </w:trPr>
        <w:tc>
          <w:tcPr>
            <w:tcW w:w="1818" w:type="dxa"/>
            <w:vMerge/>
          </w:tcPr>
          <w:p w14:paraId="7FC273E6" w14:textId="77777777" w:rsidR="00704D3D" w:rsidRPr="00FF2B32" w:rsidRDefault="00704D3D" w:rsidP="00311EC4">
            <w:pPr>
              <w:rPr>
                <w:rFonts w:ascii="Poppins" w:hAnsi="Poppins" w:cs="Poppins"/>
                <w:b/>
                <w:bCs/>
                <w:sz w:val="22"/>
              </w:rPr>
            </w:pPr>
          </w:p>
        </w:tc>
        <w:tc>
          <w:tcPr>
            <w:tcW w:w="1726" w:type="dxa"/>
          </w:tcPr>
          <w:p w14:paraId="61E53278" w14:textId="77777777" w:rsidR="00704D3D" w:rsidRPr="00FF2B32" w:rsidRDefault="00704D3D" w:rsidP="00311EC4">
            <w:pPr>
              <w:jc w:val="center"/>
              <w:rPr>
                <w:rFonts w:ascii="Poppins" w:hAnsi="Poppins" w:cs="Poppins"/>
                <w:sz w:val="22"/>
              </w:rPr>
            </w:pPr>
            <w:r w:rsidRPr="00FF2B32">
              <w:rPr>
                <w:rFonts w:ascii="Poppins" w:hAnsi="Poppins" w:cs="Poppins"/>
                <w:sz w:val="22"/>
              </w:rPr>
              <w:t>Administer</w:t>
            </w:r>
          </w:p>
        </w:tc>
        <w:tc>
          <w:tcPr>
            <w:tcW w:w="1560" w:type="dxa"/>
          </w:tcPr>
          <w:p w14:paraId="30CDFF6F" w14:textId="77777777" w:rsidR="00704D3D" w:rsidRPr="00FF2B32" w:rsidRDefault="00704D3D" w:rsidP="00311EC4">
            <w:pPr>
              <w:jc w:val="center"/>
              <w:rPr>
                <w:rFonts w:ascii="Poppins" w:hAnsi="Poppins" w:cs="Poppins"/>
                <w:sz w:val="22"/>
              </w:rPr>
            </w:pPr>
            <w:r w:rsidRPr="00FF2B32">
              <w:rPr>
                <w:rFonts w:ascii="Poppins" w:hAnsi="Poppins" w:cs="Poppins"/>
                <w:sz w:val="22"/>
              </w:rPr>
              <w:t>Supply</w:t>
            </w:r>
          </w:p>
        </w:tc>
        <w:tc>
          <w:tcPr>
            <w:tcW w:w="1576" w:type="dxa"/>
          </w:tcPr>
          <w:p w14:paraId="205E3DB0" w14:textId="77777777" w:rsidR="00704D3D" w:rsidRDefault="00704D3D" w:rsidP="00311EC4">
            <w:pPr>
              <w:jc w:val="center"/>
              <w:rPr>
                <w:rFonts w:ascii="Poppins" w:hAnsi="Poppins" w:cs="Poppins"/>
                <w:sz w:val="22"/>
              </w:rPr>
            </w:pPr>
            <w:r w:rsidRPr="00FF2B32">
              <w:rPr>
                <w:rFonts w:ascii="Poppins" w:hAnsi="Poppins" w:cs="Poppins"/>
                <w:sz w:val="22"/>
              </w:rPr>
              <w:t>Train Others</w:t>
            </w:r>
          </w:p>
          <w:p w14:paraId="450DA158" w14:textId="77777777" w:rsidR="00704D3D" w:rsidRPr="00704D3D" w:rsidRDefault="00704D3D" w:rsidP="00704D3D">
            <w:pPr>
              <w:rPr>
                <w:rFonts w:ascii="Poppins" w:hAnsi="Poppins" w:cs="Poppins"/>
                <w:sz w:val="22"/>
              </w:rPr>
            </w:pPr>
          </w:p>
          <w:p w14:paraId="69CD16FE" w14:textId="77777777" w:rsidR="00704D3D" w:rsidRPr="00704D3D" w:rsidRDefault="00704D3D" w:rsidP="00704D3D">
            <w:pPr>
              <w:rPr>
                <w:rFonts w:ascii="Poppins" w:hAnsi="Poppins" w:cs="Poppins"/>
                <w:sz w:val="22"/>
              </w:rPr>
            </w:pPr>
          </w:p>
        </w:tc>
        <w:tc>
          <w:tcPr>
            <w:tcW w:w="1259" w:type="dxa"/>
            <w:shd w:val="clear" w:color="auto" w:fill="77C29C"/>
          </w:tcPr>
          <w:p w14:paraId="374567D9" w14:textId="77777777" w:rsidR="00704D3D" w:rsidRDefault="00704D3D" w:rsidP="00311EC4">
            <w:pPr>
              <w:jc w:val="center"/>
              <w:rPr>
                <w:rFonts w:ascii="Poppins" w:hAnsi="Poppins" w:cs="Poppins"/>
                <w:sz w:val="22"/>
              </w:rPr>
            </w:pPr>
            <w:r w:rsidRPr="00FF2B32">
              <w:rPr>
                <w:rFonts w:ascii="Poppins" w:hAnsi="Poppins" w:cs="Poppins"/>
                <w:sz w:val="22"/>
              </w:rPr>
              <w:t>Administer</w:t>
            </w:r>
          </w:p>
          <w:p w14:paraId="2F0260FB" w14:textId="77777777" w:rsidR="00704D3D" w:rsidRPr="00704D3D" w:rsidRDefault="00704D3D" w:rsidP="00704D3D">
            <w:pPr>
              <w:rPr>
                <w:rFonts w:ascii="Poppins" w:hAnsi="Poppins" w:cs="Poppins"/>
                <w:sz w:val="22"/>
              </w:rPr>
            </w:pPr>
          </w:p>
          <w:p w14:paraId="7BF80E06" w14:textId="77777777" w:rsidR="00704D3D" w:rsidRPr="00704D3D" w:rsidRDefault="00704D3D" w:rsidP="00704D3D">
            <w:pPr>
              <w:jc w:val="center"/>
              <w:rPr>
                <w:rFonts w:ascii="Poppins" w:hAnsi="Poppins" w:cs="Poppins"/>
                <w:sz w:val="22"/>
              </w:rPr>
            </w:pPr>
          </w:p>
        </w:tc>
        <w:tc>
          <w:tcPr>
            <w:tcW w:w="1257" w:type="dxa"/>
            <w:shd w:val="clear" w:color="auto" w:fill="77C29C" w:themeFill="accent2"/>
          </w:tcPr>
          <w:p w14:paraId="763EF0C4" w14:textId="77777777" w:rsidR="00704D3D" w:rsidRPr="00FF2B32" w:rsidRDefault="00704D3D" w:rsidP="00311EC4">
            <w:pPr>
              <w:jc w:val="center"/>
              <w:rPr>
                <w:rFonts w:ascii="Poppins" w:hAnsi="Poppins" w:cs="Poppins"/>
                <w:sz w:val="22"/>
              </w:rPr>
            </w:pPr>
            <w:r w:rsidRPr="00FF2B32">
              <w:rPr>
                <w:rFonts w:ascii="Poppins" w:hAnsi="Poppins" w:cs="Poppins"/>
                <w:sz w:val="22"/>
              </w:rPr>
              <w:t>Supply</w:t>
            </w:r>
          </w:p>
        </w:tc>
        <w:tc>
          <w:tcPr>
            <w:tcW w:w="1578" w:type="dxa"/>
            <w:shd w:val="clear" w:color="auto" w:fill="77C29C" w:themeFill="accent2"/>
          </w:tcPr>
          <w:p w14:paraId="67A78151" w14:textId="77777777" w:rsidR="00704D3D" w:rsidRPr="00FF2B32" w:rsidRDefault="00704D3D" w:rsidP="00311EC4">
            <w:pPr>
              <w:jc w:val="center"/>
              <w:rPr>
                <w:rFonts w:ascii="Poppins" w:hAnsi="Poppins" w:cs="Poppins"/>
                <w:sz w:val="22"/>
              </w:rPr>
            </w:pPr>
            <w:r w:rsidRPr="00FF2B32">
              <w:rPr>
                <w:rFonts w:ascii="Poppins" w:hAnsi="Poppins" w:cs="Poppins"/>
                <w:sz w:val="22"/>
              </w:rPr>
              <w:t>Train Others</w:t>
            </w:r>
          </w:p>
        </w:tc>
      </w:tr>
      <w:tr w:rsidR="00704D3D" w:rsidRPr="00FF2B32" w14:paraId="32E619C9" w14:textId="77777777" w:rsidTr="00704D3D">
        <w:trPr>
          <w:trHeight w:val="84"/>
          <w:jc w:val="center"/>
        </w:trPr>
        <w:tc>
          <w:tcPr>
            <w:tcW w:w="1818" w:type="dxa"/>
            <w:shd w:val="clear" w:color="auto" w:fill="F2F2F2" w:themeFill="background1" w:themeFillShade="F2"/>
          </w:tcPr>
          <w:p w14:paraId="782909F4" w14:textId="77777777" w:rsidR="00704D3D" w:rsidRPr="00FF2B32" w:rsidRDefault="00704D3D" w:rsidP="00311EC4">
            <w:pPr>
              <w:rPr>
                <w:rFonts w:ascii="Poppins" w:hAnsi="Poppins" w:cs="Poppins"/>
                <w:b/>
                <w:bCs/>
                <w:sz w:val="22"/>
              </w:rPr>
            </w:pPr>
            <w:r w:rsidRPr="00FF2B32">
              <w:rPr>
                <w:rFonts w:ascii="Poppins" w:hAnsi="Poppins" w:cs="Poppins"/>
                <w:b/>
                <w:bCs/>
                <w:sz w:val="22"/>
              </w:rPr>
              <w:t>Date Achieved</w:t>
            </w:r>
          </w:p>
        </w:tc>
        <w:tc>
          <w:tcPr>
            <w:tcW w:w="1726" w:type="dxa"/>
          </w:tcPr>
          <w:p w14:paraId="596FCC67" w14:textId="77777777" w:rsidR="00704D3D" w:rsidRPr="00FF2B32" w:rsidRDefault="00704D3D" w:rsidP="00311EC4">
            <w:pPr>
              <w:rPr>
                <w:rFonts w:ascii="Poppins" w:hAnsi="Poppins" w:cs="Poppins"/>
                <w:sz w:val="22"/>
              </w:rPr>
            </w:pPr>
          </w:p>
        </w:tc>
        <w:tc>
          <w:tcPr>
            <w:tcW w:w="1560" w:type="dxa"/>
          </w:tcPr>
          <w:p w14:paraId="31016183" w14:textId="77777777" w:rsidR="00704D3D" w:rsidRPr="00FF2B32" w:rsidRDefault="00704D3D" w:rsidP="00311EC4">
            <w:pPr>
              <w:rPr>
                <w:rFonts w:ascii="Poppins" w:hAnsi="Poppins" w:cs="Poppins"/>
                <w:sz w:val="22"/>
              </w:rPr>
            </w:pPr>
          </w:p>
        </w:tc>
        <w:tc>
          <w:tcPr>
            <w:tcW w:w="1576" w:type="dxa"/>
          </w:tcPr>
          <w:p w14:paraId="1D06AD1E" w14:textId="77777777" w:rsidR="00704D3D" w:rsidRPr="00FF2B32" w:rsidRDefault="00704D3D" w:rsidP="00311EC4">
            <w:pPr>
              <w:rPr>
                <w:rFonts w:ascii="Poppins" w:hAnsi="Poppins" w:cs="Poppins"/>
                <w:sz w:val="22"/>
              </w:rPr>
            </w:pPr>
          </w:p>
        </w:tc>
        <w:tc>
          <w:tcPr>
            <w:tcW w:w="1259" w:type="dxa"/>
            <w:shd w:val="clear" w:color="auto" w:fill="77C29C" w:themeFill="accent2"/>
          </w:tcPr>
          <w:p w14:paraId="242C192A" w14:textId="77777777" w:rsidR="00704D3D" w:rsidRPr="00FF2B32" w:rsidRDefault="00704D3D" w:rsidP="00311EC4">
            <w:pPr>
              <w:rPr>
                <w:rFonts w:ascii="Poppins" w:hAnsi="Poppins" w:cs="Poppins"/>
                <w:sz w:val="22"/>
              </w:rPr>
            </w:pPr>
          </w:p>
        </w:tc>
        <w:tc>
          <w:tcPr>
            <w:tcW w:w="1257" w:type="dxa"/>
            <w:shd w:val="clear" w:color="auto" w:fill="77C29C" w:themeFill="accent2"/>
          </w:tcPr>
          <w:p w14:paraId="4ACE1BC0" w14:textId="77777777" w:rsidR="00704D3D" w:rsidRPr="00FF2B32" w:rsidRDefault="00704D3D" w:rsidP="00311EC4">
            <w:pPr>
              <w:rPr>
                <w:rFonts w:ascii="Poppins" w:hAnsi="Poppins" w:cs="Poppins"/>
                <w:sz w:val="22"/>
              </w:rPr>
            </w:pPr>
          </w:p>
        </w:tc>
        <w:tc>
          <w:tcPr>
            <w:tcW w:w="1578" w:type="dxa"/>
            <w:shd w:val="clear" w:color="auto" w:fill="77C29C" w:themeFill="accent2"/>
          </w:tcPr>
          <w:p w14:paraId="600B7721" w14:textId="77777777" w:rsidR="00704D3D" w:rsidRPr="00FF2B32" w:rsidRDefault="00704D3D" w:rsidP="00311EC4">
            <w:pPr>
              <w:rPr>
                <w:rFonts w:ascii="Poppins" w:hAnsi="Poppins" w:cs="Poppins"/>
                <w:sz w:val="22"/>
              </w:rPr>
            </w:pPr>
          </w:p>
        </w:tc>
      </w:tr>
      <w:tr w:rsidR="00704D3D" w:rsidRPr="00FF2B32" w14:paraId="1444545E" w14:textId="77777777" w:rsidTr="00704D3D">
        <w:trPr>
          <w:jc w:val="center"/>
        </w:trPr>
        <w:tc>
          <w:tcPr>
            <w:tcW w:w="1818" w:type="dxa"/>
            <w:shd w:val="clear" w:color="auto" w:fill="F2F2F2" w:themeFill="background1" w:themeFillShade="F2"/>
          </w:tcPr>
          <w:p w14:paraId="407803F8" w14:textId="77777777" w:rsidR="00704D3D" w:rsidRPr="00FF2B32" w:rsidRDefault="00704D3D" w:rsidP="00311EC4">
            <w:pPr>
              <w:rPr>
                <w:rFonts w:ascii="Poppins" w:hAnsi="Poppins" w:cs="Poppins"/>
                <w:b/>
                <w:bCs/>
                <w:sz w:val="22"/>
              </w:rPr>
            </w:pPr>
            <w:r w:rsidRPr="00FF2B32">
              <w:rPr>
                <w:rFonts w:ascii="Poppins" w:hAnsi="Poppins" w:cs="Poppins"/>
                <w:b/>
                <w:bCs/>
                <w:sz w:val="22"/>
              </w:rPr>
              <w:t>Assessor’s Name</w:t>
            </w:r>
          </w:p>
        </w:tc>
        <w:tc>
          <w:tcPr>
            <w:tcW w:w="1726" w:type="dxa"/>
          </w:tcPr>
          <w:p w14:paraId="573D13AA" w14:textId="77777777" w:rsidR="00704D3D" w:rsidRPr="00FF2B32" w:rsidRDefault="00704D3D" w:rsidP="00311EC4">
            <w:pPr>
              <w:rPr>
                <w:rFonts w:ascii="Poppins" w:hAnsi="Poppins" w:cs="Poppins"/>
                <w:sz w:val="22"/>
              </w:rPr>
            </w:pPr>
          </w:p>
        </w:tc>
        <w:tc>
          <w:tcPr>
            <w:tcW w:w="1560" w:type="dxa"/>
          </w:tcPr>
          <w:p w14:paraId="5D28410A" w14:textId="77777777" w:rsidR="00704D3D" w:rsidRPr="00FF2B32" w:rsidRDefault="00704D3D" w:rsidP="00311EC4">
            <w:pPr>
              <w:rPr>
                <w:rFonts w:ascii="Poppins" w:hAnsi="Poppins" w:cs="Poppins"/>
                <w:sz w:val="22"/>
              </w:rPr>
            </w:pPr>
          </w:p>
        </w:tc>
        <w:tc>
          <w:tcPr>
            <w:tcW w:w="1576" w:type="dxa"/>
          </w:tcPr>
          <w:p w14:paraId="6C540621" w14:textId="77777777" w:rsidR="00704D3D" w:rsidRPr="00FF2B32" w:rsidRDefault="00704D3D" w:rsidP="00311EC4">
            <w:pPr>
              <w:rPr>
                <w:rFonts w:ascii="Poppins" w:hAnsi="Poppins" w:cs="Poppins"/>
                <w:sz w:val="22"/>
              </w:rPr>
            </w:pPr>
          </w:p>
        </w:tc>
        <w:tc>
          <w:tcPr>
            <w:tcW w:w="1259" w:type="dxa"/>
            <w:shd w:val="clear" w:color="auto" w:fill="77C29C" w:themeFill="accent2"/>
          </w:tcPr>
          <w:p w14:paraId="6E7C1699" w14:textId="77777777" w:rsidR="00704D3D" w:rsidRPr="00FF2B32" w:rsidRDefault="00704D3D" w:rsidP="00311EC4">
            <w:pPr>
              <w:rPr>
                <w:rFonts w:ascii="Poppins" w:hAnsi="Poppins" w:cs="Poppins"/>
                <w:sz w:val="22"/>
              </w:rPr>
            </w:pPr>
          </w:p>
        </w:tc>
        <w:tc>
          <w:tcPr>
            <w:tcW w:w="1257" w:type="dxa"/>
            <w:shd w:val="clear" w:color="auto" w:fill="77C29C" w:themeFill="accent2"/>
          </w:tcPr>
          <w:p w14:paraId="297BDA1A" w14:textId="77777777" w:rsidR="00704D3D" w:rsidRPr="00FF2B32" w:rsidRDefault="00704D3D" w:rsidP="00311EC4">
            <w:pPr>
              <w:rPr>
                <w:rFonts w:ascii="Poppins" w:hAnsi="Poppins" w:cs="Poppins"/>
                <w:sz w:val="22"/>
              </w:rPr>
            </w:pPr>
          </w:p>
        </w:tc>
        <w:tc>
          <w:tcPr>
            <w:tcW w:w="1578" w:type="dxa"/>
            <w:shd w:val="clear" w:color="auto" w:fill="77C29C" w:themeFill="accent2"/>
          </w:tcPr>
          <w:p w14:paraId="0F6AEE4A" w14:textId="77777777" w:rsidR="00704D3D" w:rsidRPr="00FF2B32" w:rsidRDefault="00704D3D" w:rsidP="00311EC4">
            <w:pPr>
              <w:rPr>
                <w:rFonts w:ascii="Poppins" w:hAnsi="Poppins" w:cs="Poppins"/>
                <w:sz w:val="22"/>
              </w:rPr>
            </w:pPr>
          </w:p>
        </w:tc>
      </w:tr>
    </w:tbl>
    <w:p w14:paraId="0EBDC2FC" w14:textId="77777777" w:rsidR="00B44747" w:rsidRPr="00E55C4C" w:rsidRDefault="00B44747" w:rsidP="00B44747">
      <w:pPr>
        <w:rPr>
          <w:rFonts w:ascii="Century Gothic" w:hAnsi="Century Gothic"/>
          <w:b/>
          <w:bCs/>
          <w:szCs w:val="20"/>
        </w:rPr>
      </w:pPr>
    </w:p>
    <w:p w14:paraId="685202B1" w14:textId="04593FED" w:rsidR="00EA2627" w:rsidRDefault="004F040E" w:rsidP="00306062">
      <w:pPr>
        <w:spacing w:before="0" w:after="160" w:line="259" w:lineRule="auto"/>
        <w:jc w:val="left"/>
        <w:rPr>
          <w:rFonts w:ascii="Century Gothic" w:hAnsi="Century Gothic" w:cstheme="minorHAnsi"/>
          <w:sz w:val="20"/>
          <w:szCs w:val="20"/>
        </w:rPr>
      </w:pPr>
      <w:bookmarkStart w:id="5" w:name="_Appendix_B:_Pharmacy"/>
      <w:bookmarkEnd w:id="5"/>
      <w:r w:rsidRPr="00E55C4C">
        <w:rPr>
          <w:rFonts w:ascii="Century Gothic" w:hAnsi="Century Gothic" w:cstheme="minorHAnsi"/>
          <w:sz w:val="20"/>
          <w:szCs w:val="20"/>
        </w:rPr>
        <w:t xml:space="preserve"> </w:t>
      </w:r>
    </w:p>
    <w:p w14:paraId="70DF90BD" w14:textId="77777777" w:rsidR="004F450A" w:rsidRPr="00E55C4C" w:rsidRDefault="004F450A" w:rsidP="004F450A">
      <w:pPr>
        <w:pStyle w:val="Heading1"/>
        <w:spacing w:before="0"/>
        <w:jc w:val="left"/>
        <w:rPr>
          <w:rFonts w:ascii="Century Gothic" w:hAnsi="Century Gothic" w:cs="Arial"/>
          <w:color w:val="77C29C" w:themeColor="accent2"/>
          <w:sz w:val="24"/>
          <w:szCs w:val="24"/>
        </w:rPr>
      </w:pPr>
      <w:r w:rsidRPr="00E55C4C">
        <w:rPr>
          <w:rFonts w:ascii="Century Gothic" w:hAnsi="Century Gothic" w:cs="Arial"/>
          <w:color w:val="77C29C" w:themeColor="accent2"/>
          <w:sz w:val="24"/>
          <w:szCs w:val="24"/>
        </w:rPr>
        <w:t>Appendix B: Pharmacy THN Competency Assessment and Supply Exemplar Template</w:t>
      </w:r>
    </w:p>
    <w:p w14:paraId="4BC08D5C" w14:textId="77777777" w:rsidR="004F450A" w:rsidRPr="00E55C4C" w:rsidRDefault="004F450A" w:rsidP="004F450A">
      <w:pPr>
        <w:tabs>
          <w:tab w:val="left" w:pos="2040"/>
        </w:tabs>
        <w:spacing w:before="20" w:after="40"/>
        <w:rPr>
          <w:rFonts w:ascii="Century Gothic" w:hAnsi="Century Gothic"/>
          <w:sz w:val="18"/>
          <w:szCs w:val="18"/>
        </w:rPr>
      </w:pPr>
    </w:p>
    <w:p w14:paraId="34FBCF13" w14:textId="057B4DA2"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The following must be recorded as a minimum</w:t>
      </w:r>
      <w:r w:rsidR="00B75BAD" w:rsidRPr="00E55C4C">
        <w:rPr>
          <w:rFonts w:ascii="Century Gothic" w:hAnsi="Century Gothic" w:cstheme="minorHAnsi"/>
          <w:sz w:val="20"/>
          <w:szCs w:val="20"/>
        </w:rPr>
        <w:t xml:space="preserve"> (where possible)</w:t>
      </w:r>
      <w:r w:rsidRPr="00E55C4C">
        <w:rPr>
          <w:rFonts w:ascii="Century Gothic" w:hAnsi="Century Gothic" w:cstheme="minorHAnsi"/>
          <w:sz w:val="20"/>
          <w:szCs w:val="20"/>
        </w:rPr>
        <w:t xml:space="preserve"> on the </w:t>
      </w:r>
      <w:proofErr w:type="spellStart"/>
      <w:r w:rsidRPr="00E55C4C">
        <w:rPr>
          <w:rFonts w:ascii="Century Gothic" w:hAnsi="Century Gothic" w:cstheme="minorHAnsi"/>
          <w:sz w:val="20"/>
          <w:szCs w:val="20"/>
        </w:rPr>
        <w:t>PharmOutcomes</w:t>
      </w:r>
      <w:proofErr w:type="spellEnd"/>
      <w:r w:rsidRPr="00E55C4C">
        <w:rPr>
          <w:rFonts w:ascii="Century Gothic" w:hAnsi="Century Gothic" w:cstheme="minorHAnsi"/>
          <w:sz w:val="20"/>
          <w:szCs w:val="20"/>
        </w:rPr>
        <w:t xml:space="preserve"> template:</w:t>
      </w:r>
      <w:r w:rsidRPr="00E55C4C">
        <w:rPr>
          <w:rFonts w:ascii="Century Gothic" w:hAnsi="Century Gothic" w:cstheme="minorHAnsi"/>
          <w:sz w:val="20"/>
          <w:szCs w:val="20"/>
        </w:rPr>
        <w:tab/>
      </w:r>
    </w:p>
    <w:p w14:paraId="3B43DEC6" w14:textId="77777777" w:rsidR="004F450A" w:rsidRPr="00E55C4C" w:rsidRDefault="004F450A" w:rsidP="004F450A">
      <w:pPr>
        <w:framePr w:hSpace="180" w:wrap="around" w:hAnchor="margin" w:xAlign="center" w:y="1041"/>
        <w:spacing w:before="0"/>
        <w:rPr>
          <w:rFonts w:ascii="Century Gothic" w:hAnsi="Century Gothic" w:cstheme="minorHAnsi"/>
          <w:b/>
          <w:bCs/>
          <w:sz w:val="20"/>
          <w:szCs w:val="20"/>
        </w:rPr>
      </w:pPr>
    </w:p>
    <w:p w14:paraId="1ADE0575" w14:textId="77777777" w:rsidR="004F450A" w:rsidRPr="00E55C4C" w:rsidRDefault="004F450A" w:rsidP="004F450A">
      <w:pPr>
        <w:pStyle w:val="ListParagraph"/>
        <w:numPr>
          <w:ilvl w:val="0"/>
          <w:numId w:val="21"/>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Date of supply</w:t>
      </w:r>
    </w:p>
    <w:p w14:paraId="5284137F" w14:textId="7BD0B1D4" w:rsidR="004F450A" w:rsidRPr="00E55C4C" w:rsidRDefault="004F450A" w:rsidP="004F450A">
      <w:pPr>
        <w:pStyle w:val="ListParagraph"/>
        <w:numPr>
          <w:ilvl w:val="0"/>
          <w:numId w:val="21"/>
        </w:numPr>
        <w:spacing w:before="0"/>
        <w:rPr>
          <w:rFonts w:ascii="Century Gothic" w:hAnsi="Century Gothic" w:cstheme="minorHAnsi"/>
          <w:i/>
          <w:sz w:val="20"/>
          <w:szCs w:val="20"/>
        </w:rPr>
      </w:pPr>
      <w:r w:rsidRPr="00E55C4C">
        <w:rPr>
          <w:rFonts w:ascii="Century Gothic" w:hAnsi="Century Gothic" w:cstheme="minorHAnsi"/>
          <w:sz w:val="20"/>
          <w:szCs w:val="20"/>
        </w:rPr>
        <w:t xml:space="preserve">Type of THN supplied </w:t>
      </w:r>
      <w:proofErr w:type="spellStart"/>
      <w:r w:rsidRPr="00E55C4C">
        <w:rPr>
          <w:rFonts w:ascii="Century Gothic" w:hAnsi="Century Gothic" w:cstheme="minorHAnsi"/>
          <w:sz w:val="20"/>
          <w:szCs w:val="20"/>
        </w:rPr>
        <w:t>ie</w:t>
      </w:r>
      <w:proofErr w:type="spellEnd"/>
      <w:r w:rsidRPr="00E55C4C">
        <w:rPr>
          <w:rFonts w:ascii="Century Gothic" w:hAnsi="Century Gothic" w:cstheme="minorHAnsi"/>
          <w:sz w:val="20"/>
          <w:szCs w:val="20"/>
        </w:rPr>
        <w:t xml:space="preserve"> </w:t>
      </w:r>
      <w:proofErr w:type="spellStart"/>
      <w:r w:rsidRPr="00E55C4C">
        <w:rPr>
          <w:rFonts w:ascii="Century Gothic" w:hAnsi="Century Gothic" w:cstheme="minorHAnsi"/>
          <w:sz w:val="20"/>
          <w:szCs w:val="20"/>
        </w:rPr>
        <w:t>Prenoxad</w:t>
      </w:r>
      <w:proofErr w:type="spellEnd"/>
      <w:r w:rsidRPr="00E55C4C">
        <w:rPr>
          <w:rFonts w:ascii="Century Gothic" w:hAnsi="Century Gothic" w:cstheme="minorHAnsi"/>
          <w:sz w:val="20"/>
          <w:szCs w:val="20"/>
        </w:rPr>
        <w:t>® injection1mg/ml (2ml pre-filled syringe)/</w:t>
      </w:r>
      <w:proofErr w:type="spellStart"/>
      <w:r w:rsidRPr="00E55C4C">
        <w:rPr>
          <w:rFonts w:ascii="Century Gothic" w:hAnsi="Century Gothic" w:cstheme="minorHAnsi"/>
          <w:sz w:val="20"/>
          <w:szCs w:val="20"/>
        </w:rPr>
        <w:t>Nyxoid</w:t>
      </w:r>
      <w:proofErr w:type="spellEnd"/>
      <w:r w:rsidRPr="00E55C4C">
        <w:rPr>
          <w:rFonts w:ascii="Century Gothic" w:hAnsi="Century Gothic" w:cstheme="minorHAnsi"/>
          <w:sz w:val="20"/>
          <w:szCs w:val="20"/>
        </w:rPr>
        <w:t>® nasal spray 1.8mg (2x single use container)</w:t>
      </w:r>
      <w:r w:rsidRPr="00E55C4C">
        <w:rPr>
          <w:rFonts w:ascii="Century Gothic" w:hAnsi="Century Gothic" w:cstheme="minorHAnsi"/>
          <w:i/>
          <w:sz w:val="20"/>
          <w:szCs w:val="20"/>
        </w:rPr>
        <w:t xml:space="preserve">           </w:t>
      </w:r>
    </w:p>
    <w:p w14:paraId="2FECDF9B" w14:textId="77777777" w:rsidR="004F450A" w:rsidRPr="00E55C4C" w:rsidRDefault="004F450A" w:rsidP="004F450A">
      <w:pPr>
        <w:pStyle w:val="BodyText"/>
        <w:numPr>
          <w:ilvl w:val="0"/>
          <w:numId w:val="21"/>
        </w:numPr>
        <w:rPr>
          <w:rFonts w:ascii="Century Gothic" w:hAnsi="Century Gothic" w:cstheme="minorHAnsi"/>
          <w:sz w:val="20"/>
          <w:szCs w:val="20"/>
        </w:rPr>
      </w:pPr>
      <w:r w:rsidRPr="00E55C4C">
        <w:rPr>
          <w:rFonts w:ascii="Century Gothic" w:hAnsi="Century Gothic" w:cstheme="minorHAnsi"/>
          <w:sz w:val="20"/>
          <w:szCs w:val="20"/>
        </w:rPr>
        <w:t>Batch number(s)</w:t>
      </w:r>
    </w:p>
    <w:p w14:paraId="2D4B0970" w14:textId="77777777" w:rsidR="004F450A" w:rsidRPr="00E55C4C" w:rsidRDefault="004F450A" w:rsidP="004F450A">
      <w:pPr>
        <w:pStyle w:val="BodyText"/>
        <w:numPr>
          <w:ilvl w:val="0"/>
          <w:numId w:val="21"/>
        </w:numPr>
        <w:rPr>
          <w:rFonts w:ascii="Century Gothic" w:hAnsi="Century Gothic" w:cstheme="minorHAnsi"/>
          <w:sz w:val="20"/>
          <w:szCs w:val="20"/>
        </w:rPr>
      </w:pPr>
      <w:r w:rsidRPr="00E55C4C">
        <w:rPr>
          <w:rFonts w:ascii="Century Gothic" w:hAnsi="Century Gothic" w:cstheme="minorHAnsi"/>
          <w:sz w:val="20"/>
          <w:szCs w:val="20"/>
        </w:rPr>
        <w:t>Expiry date(s)</w:t>
      </w:r>
    </w:p>
    <w:p w14:paraId="32B5D625" w14:textId="77777777" w:rsidR="004F450A" w:rsidRDefault="004F450A"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Number of packs supplied</w:t>
      </w:r>
    </w:p>
    <w:p w14:paraId="32F5F56A" w14:textId="1F86CB46" w:rsidR="00B37C4A" w:rsidRPr="00E55C4C" w:rsidRDefault="00B37C4A" w:rsidP="004F450A">
      <w:pPr>
        <w:pStyle w:val="ListParagraph"/>
        <w:numPr>
          <w:ilvl w:val="0"/>
          <w:numId w:val="21"/>
        </w:numPr>
        <w:spacing w:before="0"/>
        <w:rPr>
          <w:rFonts w:ascii="Century Gothic" w:hAnsi="Century Gothic" w:cstheme="minorHAnsi"/>
          <w:sz w:val="20"/>
          <w:szCs w:val="20"/>
        </w:rPr>
      </w:pPr>
      <w:r>
        <w:rPr>
          <w:rFonts w:ascii="Century Gothic" w:hAnsi="Century Gothic" w:cstheme="minorHAnsi"/>
          <w:sz w:val="20"/>
          <w:szCs w:val="20"/>
        </w:rPr>
        <w:t>Supply type</w:t>
      </w:r>
    </w:p>
    <w:p w14:paraId="3FA10510" w14:textId="00D944A1" w:rsidR="00896379" w:rsidRPr="00E55C4C" w:rsidRDefault="00896379"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Reason for supply</w:t>
      </w:r>
    </w:p>
    <w:p w14:paraId="04E515B9" w14:textId="7B8C0829" w:rsidR="004F450A" w:rsidRPr="00E55C4C" w:rsidRDefault="004F450A"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 xml:space="preserve">Details of who the supply is made to (anonymised </w:t>
      </w:r>
      <w:r w:rsidR="00896379" w:rsidRPr="00E55C4C">
        <w:rPr>
          <w:rFonts w:ascii="Century Gothic" w:hAnsi="Century Gothic" w:cstheme="minorHAnsi"/>
          <w:sz w:val="20"/>
          <w:szCs w:val="20"/>
        </w:rPr>
        <w:t>data</w:t>
      </w:r>
      <w:r w:rsidRPr="00E55C4C">
        <w:rPr>
          <w:rFonts w:ascii="Century Gothic" w:hAnsi="Century Gothic" w:cstheme="minorHAnsi"/>
          <w:sz w:val="20"/>
          <w:szCs w:val="20"/>
        </w:rPr>
        <w:t>)</w:t>
      </w:r>
    </w:p>
    <w:p w14:paraId="147717E5" w14:textId="5EF8734C" w:rsidR="000615D4" w:rsidRPr="00E55C4C" w:rsidRDefault="000615D4" w:rsidP="004F450A">
      <w:pPr>
        <w:pStyle w:val="ListParagraph"/>
        <w:numPr>
          <w:ilvl w:val="0"/>
          <w:numId w:val="21"/>
        </w:numPr>
        <w:spacing w:before="0"/>
        <w:rPr>
          <w:rFonts w:ascii="Century Gothic" w:hAnsi="Century Gothic" w:cstheme="minorHAnsi"/>
          <w:sz w:val="20"/>
          <w:szCs w:val="20"/>
        </w:rPr>
      </w:pPr>
      <w:r w:rsidRPr="00E55C4C">
        <w:rPr>
          <w:rFonts w:ascii="Century Gothic" w:hAnsi="Century Gothic" w:cstheme="minorHAnsi"/>
          <w:sz w:val="20"/>
          <w:szCs w:val="20"/>
        </w:rPr>
        <w:t xml:space="preserve">If a person, who naloxone was supplied to, is in treatment. </w:t>
      </w:r>
    </w:p>
    <w:p w14:paraId="637F0A3C" w14:textId="77777777" w:rsidR="004F450A" w:rsidRPr="00E55C4C" w:rsidRDefault="004F450A" w:rsidP="004F450A">
      <w:pPr>
        <w:tabs>
          <w:tab w:val="left" w:pos="2040"/>
        </w:tabs>
        <w:spacing w:before="0"/>
        <w:rPr>
          <w:rFonts w:ascii="Century Gothic" w:hAnsi="Century Gothic" w:cstheme="minorHAnsi"/>
          <w:sz w:val="20"/>
          <w:szCs w:val="20"/>
        </w:rPr>
      </w:pPr>
    </w:p>
    <w:p w14:paraId="1BB88A33" w14:textId="77777777"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If it is the persons’ first time of being supplied with THN, it must also be evidenced that the person: </w:t>
      </w:r>
    </w:p>
    <w:p w14:paraId="119A774F"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Understands what naloxone does </w:t>
      </w:r>
    </w:p>
    <w:p w14:paraId="6DDFCEB0"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Can identify causes of drug overdose </w:t>
      </w:r>
    </w:p>
    <w:p w14:paraId="3E093098"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Can identify symptoms of opioid overdose </w:t>
      </w:r>
    </w:p>
    <w:p w14:paraId="019A1E66"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Understands actions to take if witnessing a suspected opioid overdose and how to administer THN if required</w:t>
      </w:r>
    </w:p>
    <w:p w14:paraId="108CE71B" w14:textId="77777777" w:rsidR="004F450A" w:rsidRPr="00E55C4C" w:rsidRDefault="004F450A" w:rsidP="004F450A">
      <w:pPr>
        <w:pStyle w:val="ListParagraph"/>
        <w:numPr>
          <w:ilvl w:val="0"/>
          <w:numId w:val="22"/>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Knows about safe storage requirements </w:t>
      </w:r>
    </w:p>
    <w:p w14:paraId="088AA532"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Knows how to open the pack and not to do so except for emergency use</w:t>
      </w:r>
    </w:p>
    <w:p w14:paraId="49F0187D"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 xml:space="preserve">Knows to dispose of unwanted/expired/used packs and how to source replacements  </w:t>
      </w:r>
    </w:p>
    <w:p w14:paraId="1AE840C7" w14:textId="77777777" w:rsidR="004F450A" w:rsidRPr="00E55C4C" w:rsidRDefault="004F450A" w:rsidP="004F450A">
      <w:pPr>
        <w:pStyle w:val="BodyText"/>
        <w:numPr>
          <w:ilvl w:val="0"/>
          <w:numId w:val="27"/>
        </w:numPr>
        <w:rPr>
          <w:rFonts w:ascii="Century Gothic" w:hAnsi="Century Gothic" w:cstheme="minorHAnsi"/>
          <w:sz w:val="20"/>
          <w:szCs w:val="20"/>
        </w:rPr>
      </w:pPr>
      <w:r w:rsidRPr="00E55C4C">
        <w:rPr>
          <w:rFonts w:ascii="Century Gothic" w:hAnsi="Century Gothic" w:cstheme="minorHAnsi"/>
          <w:sz w:val="20"/>
          <w:szCs w:val="20"/>
        </w:rPr>
        <w:t>Knows how to access information leaflets/training resources if needed</w:t>
      </w:r>
    </w:p>
    <w:p w14:paraId="5B09C77E" w14:textId="77777777" w:rsidR="004F450A" w:rsidRPr="00E55C4C" w:rsidRDefault="004F450A" w:rsidP="004F450A">
      <w:pPr>
        <w:pStyle w:val="BodyText"/>
        <w:rPr>
          <w:rFonts w:ascii="Century Gothic" w:hAnsi="Century Gothic" w:cstheme="minorHAnsi"/>
          <w:sz w:val="20"/>
          <w:szCs w:val="20"/>
        </w:rPr>
      </w:pPr>
    </w:p>
    <w:p w14:paraId="21370544" w14:textId="77777777" w:rsidR="004F450A" w:rsidRPr="00E55C4C" w:rsidRDefault="004F450A" w:rsidP="004F450A">
      <w:p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 xml:space="preserve">If the person has had THN supplied to them previously (from any source), the following must also be evidenced: </w:t>
      </w:r>
    </w:p>
    <w:p w14:paraId="56D1C909" w14:textId="77777777" w:rsidR="004F450A" w:rsidRPr="00E55C4C" w:rsidRDefault="004F450A" w:rsidP="004F450A">
      <w:pPr>
        <w:pStyle w:val="ListParagraph"/>
        <w:numPr>
          <w:ilvl w:val="0"/>
          <w:numId w:val="21"/>
        </w:numPr>
        <w:tabs>
          <w:tab w:val="left" w:pos="2040"/>
        </w:tabs>
        <w:spacing w:before="0"/>
        <w:rPr>
          <w:rFonts w:ascii="Century Gothic" w:hAnsi="Century Gothic" w:cstheme="minorHAnsi"/>
          <w:sz w:val="20"/>
          <w:szCs w:val="20"/>
        </w:rPr>
      </w:pPr>
      <w:r w:rsidRPr="00E55C4C">
        <w:rPr>
          <w:rFonts w:ascii="Century Gothic" w:hAnsi="Century Gothic" w:cstheme="minorHAnsi"/>
          <w:sz w:val="20"/>
          <w:szCs w:val="20"/>
        </w:rPr>
        <w:t>Confirmation of person’s familiarisation with THN</w:t>
      </w:r>
    </w:p>
    <w:p w14:paraId="491A351C" w14:textId="77777777" w:rsidR="004F450A" w:rsidRPr="00E55C4C" w:rsidRDefault="004F450A" w:rsidP="004F450A">
      <w:pPr>
        <w:pStyle w:val="ListParagraph"/>
        <w:numPr>
          <w:ilvl w:val="0"/>
          <w:numId w:val="21"/>
        </w:numPr>
        <w:spacing w:before="0"/>
        <w:rPr>
          <w:rFonts w:ascii="Century Gothic" w:hAnsi="Century Gothic" w:cstheme="minorHAnsi"/>
          <w:i/>
          <w:sz w:val="20"/>
          <w:szCs w:val="20"/>
        </w:rPr>
      </w:pPr>
      <w:r w:rsidRPr="00E55C4C">
        <w:rPr>
          <w:rFonts w:ascii="Century Gothic" w:hAnsi="Century Gothic" w:cstheme="minorHAnsi"/>
          <w:sz w:val="20"/>
          <w:szCs w:val="20"/>
        </w:rPr>
        <w:t xml:space="preserve">Reason for (re)supply </w:t>
      </w:r>
    </w:p>
    <w:p w14:paraId="3D6BEFE9" w14:textId="77777777" w:rsidR="004F450A" w:rsidRPr="00E55C4C" w:rsidRDefault="004F450A" w:rsidP="00306062">
      <w:pPr>
        <w:spacing w:before="0" w:after="160" w:line="259" w:lineRule="auto"/>
        <w:jc w:val="left"/>
        <w:rPr>
          <w:rFonts w:ascii="Century Gothic" w:eastAsia="Source Sans Pro" w:hAnsi="Century Gothic"/>
          <w:bCs/>
          <w:sz w:val="18"/>
          <w:szCs w:val="18"/>
        </w:rPr>
      </w:pPr>
    </w:p>
    <w:sectPr w:rsidR="004F450A" w:rsidRPr="00E55C4C" w:rsidSect="00DC65CB">
      <w:footerReference w:type="default" r:id="rId32"/>
      <w:headerReference w:type="first" r:id="rId33"/>
      <w:footerReference w:type="first" r:id="rId34"/>
      <w:pgSz w:w="11906" w:h="16838"/>
      <w:pgMar w:top="1843" w:right="720" w:bottom="992"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7275" w14:textId="77777777" w:rsidR="00E125B3" w:rsidRDefault="00E125B3">
      <w:pPr>
        <w:spacing w:before="0"/>
      </w:pPr>
      <w:r>
        <w:separator/>
      </w:r>
    </w:p>
  </w:endnote>
  <w:endnote w:type="continuationSeparator" w:id="0">
    <w:p w14:paraId="047BB815" w14:textId="77777777" w:rsidR="00E125B3" w:rsidRDefault="00E125B3">
      <w:pPr>
        <w:spacing w:before="0"/>
      </w:pPr>
      <w:r>
        <w:continuationSeparator/>
      </w:r>
    </w:p>
  </w:endnote>
  <w:endnote w:type="continuationNotice" w:id="1">
    <w:p w14:paraId="70237209" w14:textId="77777777" w:rsidR="00E125B3" w:rsidRDefault="00E125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Ink Free">
    <w:panose1 w:val="03080402000500000000"/>
    <w:charset w:val="00"/>
    <w:family w:val="script"/>
    <w:pitch w:val="variable"/>
    <w:sig w:usb0="2000068F" w:usb1="4000000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9982892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6F1C947" w14:textId="5097A0A0" w:rsidR="00161DD9" w:rsidRPr="00EA090E" w:rsidRDefault="519764EF" w:rsidP="00EA090E">
            <w:pPr>
              <w:pStyle w:val="Footer"/>
              <w:jc w:val="right"/>
              <w:rPr>
                <w:sz w:val="16"/>
                <w:szCs w:val="16"/>
              </w:rPr>
            </w:pPr>
            <w:r w:rsidRPr="519764EF">
              <w:rPr>
                <w:sz w:val="16"/>
                <w:szCs w:val="16"/>
              </w:rPr>
              <w:t xml:space="preserve">Service Level Agreement for Pharmacy </w:t>
            </w:r>
            <w:r w:rsidR="00680E7A">
              <w:rPr>
                <w:sz w:val="16"/>
                <w:szCs w:val="16"/>
              </w:rPr>
              <w:t xml:space="preserve">ENAP and </w:t>
            </w:r>
            <w:r w:rsidRPr="009327FE">
              <w:rPr>
                <w:sz w:val="16"/>
                <w:szCs w:val="16"/>
              </w:rPr>
              <w:t>THN V</w:t>
            </w:r>
            <w:r w:rsidR="00704D3D">
              <w:rPr>
                <w:sz w:val="16"/>
                <w:szCs w:val="16"/>
              </w:rPr>
              <w:t>2</w:t>
            </w:r>
            <w:r w:rsidR="009327FE" w:rsidRPr="009327FE">
              <w:rPr>
                <w:sz w:val="16"/>
                <w:szCs w:val="16"/>
              </w:rPr>
              <w:t>.0</w:t>
            </w:r>
            <w:r w:rsidR="00161DD9">
              <w:tab/>
            </w:r>
            <w:r w:rsidR="00161DD9">
              <w:tab/>
            </w:r>
            <w:r w:rsidRPr="519764EF">
              <w:rPr>
                <w:sz w:val="16"/>
                <w:szCs w:val="16"/>
              </w:rPr>
              <w:t xml:space="preserve">Page </w:t>
            </w:r>
            <w:r w:rsidR="00161DD9" w:rsidRPr="519764EF">
              <w:rPr>
                <w:b/>
                <w:bCs/>
                <w:noProof/>
                <w:sz w:val="16"/>
                <w:szCs w:val="16"/>
              </w:rPr>
              <w:fldChar w:fldCharType="begin"/>
            </w:r>
            <w:r w:rsidR="00161DD9" w:rsidRPr="519764EF">
              <w:rPr>
                <w:b/>
                <w:bCs/>
                <w:sz w:val="16"/>
                <w:szCs w:val="16"/>
              </w:rPr>
              <w:instrText xml:space="preserve"> PAGE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r w:rsidRPr="519764EF">
              <w:rPr>
                <w:sz w:val="16"/>
                <w:szCs w:val="16"/>
              </w:rPr>
              <w:t xml:space="preserve"> of </w:t>
            </w:r>
            <w:r w:rsidR="00161DD9" w:rsidRPr="519764EF">
              <w:rPr>
                <w:b/>
                <w:bCs/>
                <w:noProof/>
                <w:sz w:val="16"/>
                <w:szCs w:val="16"/>
              </w:rPr>
              <w:fldChar w:fldCharType="begin"/>
            </w:r>
            <w:r w:rsidR="00161DD9" w:rsidRPr="519764EF">
              <w:rPr>
                <w:b/>
                <w:bCs/>
                <w:sz w:val="16"/>
                <w:szCs w:val="16"/>
              </w:rPr>
              <w:instrText xml:space="preserve"> NUMPAGES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6237" w14:textId="63FA06B2" w:rsidR="00161DD9" w:rsidRDefault="519764EF" w:rsidP="000E1230">
    <w:pPr>
      <w:pStyle w:val="Footer"/>
    </w:pPr>
    <w:r w:rsidRPr="519764EF">
      <w:rPr>
        <w:sz w:val="16"/>
        <w:szCs w:val="16"/>
      </w:rPr>
      <w:t xml:space="preserve">Service Level Agreement for Pharmacy </w:t>
    </w:r>
    <w:r w:rsidRPr="0030663C">
      <w:rPr>
        <w:sz w:val="16"/>
        <w:szCs w:val="16"/>
      </w:rPr>
      <w:t xml:space="preserve">THN </w:t>
    </w:r>
    <w:r w:rsidR="0022473E">
      <w:rPr>
        <w:sz w:val="16"/>
        <w:szCs w:val="16"/>
      </w:rPr>
      <w:t xml:space="preserve">and ENAP </w:t>
    </w:r>
    <w:r w:rsidRPr="0030663C">
      <w:rPr>
        <w:sz w:val="16"/>
        <w:szCs w:val="16"/>
      </w:rPr>
      <w:t>V</w:t>
    </w:r>
    <w:r w:rsidR="00FE1746">
      <w:rPr>
        <w:sz w:val="16"/>
        <w:szCs w:val="16"/>
      </w:rPr>
      <w:t>2</w:t>
    </w:r>
    <w:r w:rsidR="00560114" w:rsidRPr="0030663C">
      <w:rPr>
        <w:sz w:val="16"/>
        <w:szCs w:val="16"/>
      </w:rPr>
      <w:t>.0</w:t>
    </w:r>
    <w:r w:rsidR="00161DD9">
      <w:tab/>
    </w:r>
    <w:r w:rsidR="00161DD9">
      <w:tab/>
    </w:r>
    <w:r w:rsidRPr="519764EF">
      <w:rPr>
        <w:sz w:val="16"/>
        <w:szCs w:val="16"/>
      </w:rPr>
      <w:t xml:space="preserve">Page </w:t>
    </w:r>
    <w:r w:rsidR="00161DD9" w:rsidRPr="519764EF">
      <w:rPr>
        <w:b/>
        <w:bCs/>
        <w:noProof/>
        <w:sz w:val="16"/>
        <w:szCs w:val="16"/>
      </w:rPr>
      <w:fldChar w:fldCharType="begin"/>
    </w:r>
    <w:r w:rsidR="00161DD9" w:rsidRPr="519764EF">
      <w:rPr>
        <w:b/>
        <w:bCs/>
        <w:sz w:val="16"/>
        <w:szCs w:val="16"/>
      </w:rPr>
      <w:instrText xml:space="preserve"> PAGE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r w:rsidRPr="519764EF">
      <w:rPr>
        <w:sz w:val="16"/>
        <w:szCs w:val="16"/>
      </w:rPr>
      <w:t xml:space="preserve"> of </w:t>
    </w:r>
    <w:r w:rsidR="00161DD9" w:rsidRPr="519764EF">
      <w:rPr>
        <w:b/>
        <w:bCs/>
        <w:noProof/>
        <w:sz w:val="16"/>
        <w:szCs w:val="16"/>
      </w:rPr>
      <w:fldChar w:fldCharType="begin"/>
    </w:r>
    <w:r w:rsidR="00161DD9" w:rsidRPr="519764EF">
      <w:rPr>
        <w:b/>
        <w:bCs/>
        <w:sz w:val="16"/>
        <w:szCs w:val="16"/>
      </w:rPr>
      <w:instrText xml:space="preserve"> NUMPAGES  </w:instrText>
    </w:r>
    <w:r w:rsidR="00161DD9" w:rsidRPr="519764EF">
      <w:rPr>
        <w:b/>
        <w:bCs/>
        <w:sz w:val="16"/>
        <w:szCs w:val="16"/>
      </w:rPr>
      <w:fldChar w:fldCharType="separate"/>
    </w:r>
    <w:r w:rsidRPr="519764EF">
      <w:rPr>
        <w:b/>
        <w:bCs/>
        <w:noProof/>
        <w:sz w:val="16"/>
        <w:szCs w:val="16"/>
      </w:rPr>
      <w:t>2</w:t>
    </w:r>
    <w:r w:rsidR="00161DD9" w:rsidRPr="519764EF">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EDDA" w14:textId="77777777" w:rsidR="00E125B3" w:rsidRDefault="00E125B3">
      <w:pPr>
        <w:spacing w:before="0"/>
      </w:pPr>
      <w:r>
        <w:separator/>
      </w:r>
    </w:p>
  </w:footnote>
  <w:footnote w:type="continuationSeparator" w:id="0">
    <w:p w14:paraId="64D1B449" w14:textId="77777777" w:rsidR="00E125B3" w:rsidRDefault="00E125B3">
      <w:pPr>
        <w:spacing w:before="0"/>
      </w:pPr>
      <w:r>
        <w:continuationSeparator/>
      </w:r>
    </w:p>
  </w:footnote>
  <w:footnote w:type="continuationNotice" w:id="1">
    <w:p w14:paraId="44C348E0" w14:textId="77777777" w:rsidR="00E125B3" w:rsidRDefault="00E125B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A442" w14:textId="74E8772D" w:rsidR="00161DD9" w:rsidRDefault="00C90FFA" w:rsidP="00C90FFA">
    <w:pPr>
      <w:pStyle w:val="Header"/>
      <w:tabs>
        <w:tab w:val="clear" w:pos="4513"/>
        <w:tab w:val="clear" w:pos="9026"/>
        <w:tab w:val="left" w:pos="1644"/>
      </w:tabs>
      <w:jc w:val="left"/>
    </w:pPr>
    <w:r>
      <w:rPr>
        <w:noProof/>
      </w:rPr>
      <w:drawing>
        <wp:inline distT="0" distB="0" distL="0" distR="0" wp14:anchorId="1530E506" wp14:editId="2A77277A">
          <wp:extent cx="2331720" cy="756921"/>
          <wp:effectExtent l="0" t="0" r="0" b="0"/>
          <wp:docPr id="668361214" name="Picture 15"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61214" name="Picture 15" descr="A green text on a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2197" b="-26145"/>
                  <a:stretch/>
                </pic:blipFill>
                <pic:spPr bwMode="auto">
                  <a:xfrm>
                    <a:off x="0" y="0"/>
                    <a:ext cx="2349966" cy="762844"/>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1E4"/>
    <w:multiLevelType w:val="hybridMultilevel"/>
    <w:tmpl w:val="84E6F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A590C"/>
    <w:multiLevelType w:val="hybridMultilevel"/>
    <w:tmpl w:val="BC3CD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3A79F2"/>
    <w:multiLevelType w:val="hybridMultilevel"/>
    <w:tmpl w:val="FAEE389E"/>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083B7D51"/>
    <w:multiLevelType w:val="hybridMultilevel"/>
    <w:tmpl w:val="D122AD4E"/>
    <w:lvl w:ilvl="0" w:tplc="05D03A56">
      <w:start w:val="1"/>
      <w:numFmt w:val="bullet"/>
      <w:lvlText w:val=""/>
      <w:lvlJc w:val="left"/>
      <w:pPr>
        <w:ind w:left="720" w:hanging="360"/>
      </w:pPr>
      <w:rPr>
        <w:rFonts w:ascii="Symbol" w:hAnsi="Symbol" w:hint="default"/>
      </w:rPr>
    </w:lvl>
    <w:lvl w:ilvl="1" w:tplc="425073A4">
      <w:start w:val="1"/>
      <w:numFmt w:val="bullet"/>
      <w:lvlText w:val="o"/>
      <w:lvlJc w:val="left"/>
      <w:pPr>
        <w:ind w:left="1440" w:hanging="360"/>
      </w:pPr>
      <w:rPr>
        <w:rFonts w:ascii="Courier New" w:hAnsi="Courier New" w:hint="default"/>
      </w:rPr>
    </w:lvl>
    <w:lvl w:ilvl="2" w:tplc="E274343C">
      <w:start w:val="1"/>
      <w:numFmt w:val="bullet"/>
      <w:lvlText w:val=""/>
      <w:lvlJc w:val="left"/>
      <w:pPr>
        <w:ind w:left="2160" w:hanging="360"/>
      </w:pPr>
      <w:rPr>
        <w:rFonts w:ascii="Wingdings" w:hAnsi="Wingdings" w:hint="default"/>
      </w:rPr>
    </w:lvl>
    <w:lvl w:ilvl="3" w:tplc="60702D08">
      <w:start w:val="1"/>
      <w:numFmt w:val="bullet"/>
      <w:lvlText w:val=""/>
      <w:lvlJc w:val="left"/>
      <w:pPr>
        <w:ind w:left="2880" w:hanging="360"/>
      </w:pPr>
      <w:rPr>
        <w:rFonts w:ascii="Symbol" w:hAnsi="Symbol" w:hint="default"/>
      </w:rPr>
    </w:lvl>
    <w:lvl w:ilvl="4" w:tplc="0DAA9E02">
      <w:start w:val="1"/>
      <w:numFmt w:val="bullet"/>
      <w:lvlText w:val="o"/>
      <w:lvlJc w:val="left"/>
      <w:pPr>
        <w:ind w:left="3600" w:hanging="360"/>
      </w:pPr>
      <w:rPr>
        <w:rFonts w:ascii="Courier New" w:hAnsi="Courier New" w:hint="default"/>
      </w:rPr>
    </w:lvl>
    <w:lvl w:ilvl="5" w:tplc="190C60E0">
      <w:start w:val="1"/>
      <w:numFmt w:val="bullet"/>
      <w:lvlText w:val=""/>
      <w:lvlJc w:val="left"/>
      <w:pPr>
        <w:ind w:left="4320" w:hanging="360"/>
      </w:pPr>
      <w:rPr>
        <w:rFonts w:ascii="Wingdings" w:hAnsi="Wingdings" w:hint="default"/>
      </w:rPr>
    </w:lvl>
    <w:lvl w:ilvl="6" w:tplc="D6E6DE30">
      <w:start w:val="1"/>
      <w:numFmt w:val="bullet"/>
      <w:lvlText w:val=""/>
      <w:lvlJc w:val="left"/>
      <w:pPr>
        <w:ind w:left="5040" w:hanging="360"/>
      </w:pPr>
      <w:rPr>
        <w:rFonts w:ascii="Symbol" w:hAnsi="Symbol" w:hint="default"/>
      </w:rPr>
    </w:lvl>
    <w:lvl w:ilvl="7" w:tplc="80360C62">
      <w:start w:val="1"/>
      <w:numFmt w:val="bullet"/>
      <w:lvlText w:val="o"/>
      <w:lvlJc w:val="left"/>
      <w:pPr>
        <w:ind w:left="5760" w:hanging="360"/>
      </w:pPr>
      <w:rPr>
        <w:rFonts w:ascii="Courier New" w:hAnsi="Courier New" w:hint="default"/>
      </w:rPr>
    </w:lvl>
    <w:lvl w:ilvl="8" w:tplc="91CE1684">
      <w:start w:val="1"/>
      <w:numFmt w:val="bullet"/>
      <w:lvlText w:val=""/>
      <w:lvlJc w:val="left"/>
      <w:pPr>
        <w:ind w:left="6480" w:hanging="360"/>
      </w:pPr>
      <w:rPr>
        <w:rFonts w:ascii="Wingdings" w:hAnsi="Wingdings" w:hint="default"/>
      </w:rPr>
    </w:lvl>
  </w:abstractNum>
  <w:abstractNum w:abstractNumId="4" w15:restartNumberingAfterBreak="0">
    <w:nsid w:val="0C1659A0"/>
    <w:multiLevelType w:val="multilevel"/>
    <w:tmpl w:val="2C341E5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o"/>
      <w:lvlJc w:val="left"/>
      <w:pPr>
        <w:ind w:left="720" w:hanging="720"/>
      </w:pPr>
      <w:rPr>
        <w:rFonts w:ascii="Courier New" w:hAnsi="Courier New" w:cs="Courier New"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0FB207C"/>
    <w:multiLevelType w:val="multilevel"/>
    <w:tmpl w:val="216A3B9A"/>
    <w:lvl w:ilvl="0">
      <w:start w:val="2"/>
      <w:numFmt w:val="decimal"/>
      <w:lvlText w:val="%1"/>
      <w:lvlJc w:val="left"/>
      <w:pPr>
        <w:ind w:left="360" w:hanging="360"/>
      </w:pPr>
      <w:rPr>
        <w:rFonts w:ascii="Arial" w:eastAsiaTheme="minorHAnsi" w:hAnsi="Arial" w:cs="Arial" w:hint="default"/>
      </w:rPr>
    </w:lvl>
    <w:lvl w:ilvl="1">
      <w:start w:val="1"/>
      <w:numFmt w:val="decimal"/>
      <w:lvlText w:val="%1.%2"/>
      <w:lvlJc w:val="left"/>
      <w:pPr>
        <w:ind w:left="360" w:hanging="360"/>
      </w:pPr>
      <w:rPr>
        <w:rFonts w:ascii="Century Gothic" w:eastAsiaTheme="minorHAnsi" w:hAnsi="Century Gothic"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440" w:hanging="1440"/>
      </w:pPr>
      <w:rPr>
        <w:rFonts w:ascii="Arial" w:eastAsiaTheme="minorHAnsi" w:hAnsi="Arial" w:cs="Arial" w:hint="default"/>
      </w:rPr>
    </w:lvl>
  </w:abstractNum>
  <w:abstractNum w:abstractNumId="6"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0E2841"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7" w15:restartNumberingAfterBreak="0">
    <w:nsid w:val="21852F9A"/>
    <w:multiLevelType w:val="multilevel"/>
    <w:tmpl w:val="AD3AF626"/>
    <w:lvl w:ilvl="0">
      <w:start w:val="1"/>
      <w:numFmt w:val="decimal"/>
      <w:lvlText w:val="%1"/>
      <w:lvlJc w:val="left"/>
      <w:pPr>
        <w:ind w:left="492" w:hanging="492"/>
      </w:pPr>
      <w:rPr>
        <w:rFonts w:hint="default"/>
      </w:rPr>
    </w:lvl>
    <w:lvl w:ilvl="1">
      <w:start w:val="2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F3400"/>
    <w:multiLevelType w:val="hybridMultilevel"/>
    <w:tmpl w:val="633EB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C7167"/>
    <w:multiLevelType w:val="hybridMultilevel"/>
    <w:tmpl w:val="22FEF524"/>
    <w:lvl w:ilvl="0" w:tplc="24486120">
      <w:start w:val="1"/>
      <w:numFmt w:val="decimal"/>
      <w:pStyle w:val="Numbered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4640A"/>
    <w:multiLevelType w:val="hybridMultilevel"/>
    <w:tmpl w:val="3DF2D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C1760"/>
    <w:multiLevelType w:val="hybridMultilevel"/>
    <w:tmpl w:val="081E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67F61"/>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DE40E4"/>
    <w:multiLevelType w:val="hybridMultilevel"/>
    <w:tmpl w:val="6FFECB72"/>
    <w:lvl w:ilvl="0" w:tplc="8E32A04E">
      <w:start w:val="1"/>
      <w:numFmt w:val="decimal"/>
      <w:pStyle w:val="LIstParagraph3"/>
      <w:lvlText w:val="%1."/>
      <w:lvlJc w:val="left"/>
      <w:pPr>
        <w:ind w:left="720" w:hanging="360"/>
      </w:pPr>
    </w:lvl>
    <w:lvl w:ilvl="1" w:tplc="7B8630D2">
      <w:start w:val="2"/>
      <w:numFmt w:val="decimal"/>
      <w:lvlText w:val="%2."/>
      <w:lvlJc w:val="left"/>
      <w:pPr>
        <w:ind w:left="1440" w:hanging="360"/>
      </w:pPr>
    </w:lvl>
    <w:lvl w:ilvl="2" w:tplc="754C5F6E">
      <w:start w:val="1"/>
      <w:numFmt w:val="lowerRoman"/>
      <w:lvlText w:val="%3."/>
      <w:lvlJc w:val="right"/>
      <w:pPr>
        <w:ind w:left="2160" w:hanging="180"/>
      </w:pPr>
    </w:lvl>
    <w:lvl w:ilvl="3" w:tplc="8910D37A">
      <w:start w:val="1"/>
      <w:numFmt w:val="decimal"/>
      <w:lvlText w:val="%4."/>
      <w:lvlJc w:val="left"/>
      <w:pPr>
        <w:ind w:left="2880" w:hanging="360"/>
      </w:pPr>
    </w:lvl>
    <w:lvl w:ilvl="4" w:tplc="693EC970">
      <w:start w:val="1"/>
      <w:numFmt w:val="lowerLetter"/>
      <w:lvlText w:val="%5."/>
      <w:lvlJc w:val="left"/>
      <w:pPr>
        <w:ind w:left="3600" w:hanging="360"/>
      </w:pPr>
    </w:lvl>
    <w:lvl w:ilvl="5" w:tplc="4C0AA9F4">
      <w:start w:val="1"/>
      <w:numFmt w:val="lowerRoman"/>
      <w:lvlText w:val="%6."/>
      <w:lvlJc w:val="right"/>
      <w:pPr>
        <w:ind w:left="4320" w:hanging="180"/>
      </w:pPr>
    </w:lvl>
    <w:lvl w:ilvl="6" w:tplc="6EC28E72">
      <w:start w:val="1"/>
      <w:numFmt w:val="decimal"/>
      <w:lvlText w:val="%7."/>
      <w:lvlJc w:val="left"/>
      <w:pPr>
        <w:ind w:left="5040" w:hanging="360"/>
      </w:pPr>
    </w:lvl>
    <w:lvl w:ilvl="7" w:tplc="3FC0F364">
      <w:start w:val="1"/>
      <w:numFmt w:val="lowerLetter"/>
      <w:lvlText w:val="%8."/>
      <w:lvlJc w:val="left"/>
      <w:pPr>
        <w:ind w:left="5760" w:hanging="360"/>
      </w:pPr>
    </w:lvl>
    <w:lvl w:ilvl="8" w:tplc="0EA8C504">
      <w:start w:val="1"/>
      <w:numFmt w:val="lowerRoman"/>
      <w:lvlText w:val="%9."/>
      <w:lvlJc w:val="right"/>
      <w:pPr>
        <w:ind w:left="6480" w:hanging="180"/>
      </w:pPr>
    </w:lvl>
  </w:abstractNum>
  <w:abstractNum w:abstractNumId="14" w15:restartNumberingAfterBreak="0">
    <w:nsid w:val="31427C1F"/>
    <w:multiLevelType w:val="multilevel"/>
    <w:tmpl w:val="13AAD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B5333"/>
    <w:multiLevelType w:val="hybridMultilevel"/>
    <w:tmpl w:val="1E94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084CD7"/>
    <w:multiLevelType w:val="hybridMultilevel"/>
    <w:tmpl w:val="77ECF7D6"/>
    <w:lvl w:ilvl="0" w:tplc="08090001">
      <w:start w:val="1"/>
      <w:numFmt w:val="bullet"/>
      <w:lvlText w:val=""/>
      <w:lvlJc w:val="left"/>
      <w:pPr>
        <w:ind w:left="928" w:hanging="360"/>
      </w:pPr>
      <w:rPr>
        <w:rFonts w:ascii="Symbol" w:hAnsi="Symbol" w:hint="default"/>
      </w:rPr>
    </w:lvl>
    <w:lvl w:ilvl="1" w:tplc="F1FAC7C2">
      <w:numFmt w:val="bullet"/>
      <w:lvlText w:val="•"/>
      <w:lvlJc w:val="left"/>
      <w:pPr>
        <w:ind w:left="1648" w:hanging="360"/>
      </w:pPr>
      <w:rPr>
        <w:rFonts w:ascii="Franklin Gothic Book" w:eastAsiaTheme="minorHAnsi" w:hAnsi="Franklin Gothic Book" w:cstheme="minorBidi"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467B1264"/>
    <w:multiLevelType w:val="multilevel"/>
    <w:tmpl w:val="8F5AD1B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075635B"/>
    <w:multiLevelType w:val="hybridMultilevel"/>
    <w:tmpl w:val="B7B40122"/>
    <w:lvl w:ilvl="0" w:tplc="CB3C77FC">
      <w:start w:val="1"/>
      <w:numFmt w:val="bullet"/>
      <w:lvlText w:val=""/>
      <w:lvlJc w:val="left"/>
      <w:pPr>
        <w:ind w:left="121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F809C0"/>
    <w:multiLevelType w:val="hybridMultilevel"/>
    <w:tmpl w:val="DF14A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61A3F"/>
    <w:multiLevelType w:val="hybridMultilevel"/>
    <w:tmpl w:val="3BD6F4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42F"/>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6B302A"/>
    <w:multiLevelType w:val="hybridMultilevel"/>
    <w:tmpl w:val="D7C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14760"/>
    <w:multiLevelType w:val="hybridMultilevel"/>
    <w:tmpl w:val="E7FEA57A"/>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7407736"/>
    <w:multiLevelType w:val="hybridMultilevel"/>
    <w:tmpl w:val="90883E54"/>
    <w:lvl w:ilvl="0" w:tplc="71D80ED8">
      <w:start w:val="1"/>
      <w:numFmt w:val="decimal"/>
      <w:lvlText w:val="%1."/>
      <w:lvlJc w:val="left"/>
      <w:pPr>
        <w:ind w:left="360" w:hanging="360"/>
      </w:pPr>
      <w:rPr>
        <w:color w:val="599879" w:themeColor="accent3"/>
      </w:rPr>
    </w:lvl>
    <w:lvl w:ilvl="1" w:tplc="FFFFFFFF">
      <w:start w:val="1"/>
      <w:numFmt w:val="decimal"/>
      <w:lvlText w:val="3.%2"/>
      <w:lvlJc w:val="left"/>
      <w:pPr>
        <w:ind w:left="786" w:hanging="360"/>
      </w:pPr>
      <w:rPr>
        <w:color w:val="auto"/>
        <w:sz w:val="22"/>
        <w:szCs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0647D1"/>
    <w:multiLevelType w:val="hybridMultilevel"/>
    <w:tmpl w:val="D57CABE8"/>
    <w:lvl w:ilvl="0" w:tplc="927E5694">
      <w:start w:val="1"/>
      <w:numFmt w:val="bullet"/>
      <w:lvlText w:val=""/>
      <w:lvlJc w:val="left"/>
      <w:pPr>
        <w:ind w:left="720" w:hanging="360"/>
      </w:pPr>
      <w:rPr>
        <w:rFonts w:ascii="Symbol" w:hAnsi="Symbol" w:hint="default"/>
      </w:rPr>
    </w:lvl>
    <w:lvl w:ilvl="1" w:tplc="D57A5D08">
      <w:start w:val="1"/>
      <w:numFmt w:val="bullet"/>
      <w:lvlText w:val=""/>
      <w:lvlJc w:val="left"/>
      <w:pPr>
        <w:ind w:left="1440" w:hanging="360"/>
      </w:pPr>
      <w:rPr>
        <w:rFonts w:ascii="Symbol" w:hAnsi="Symbol" w:hint="default"/>
      </w:rPr>
    </w:lvl>
    <w:lvl w:ilvl="2" w:tplc="90E8B7B8">
      <w:start w:val="1"/>
      <w:numFmt w:val="bullet"/>
      <w:lvlText w:val=""/>
      <w:lvlJc w:val="left"/>
      <w:pPr>
        <w:ind w:left="2160" w:hanging="360"/>
      </w:pPr>
      <w:rPr>
        <w:rFonts w:ascii="Wingdings" w:hAnsi="Wingdings" w:hint="default"/>
      </w:rPr>
    </w:lvl>
    <w:lvl w:ilvl="3" w:tplc="BFB2812E">
      <w:start w:val="1"/>
      <w:numFmt w:val="bullet"/>
      <w:lvlText w:val=""/>
      <w:lvlJc w:val="left"/>
      <w:pPr>
        <w:ind w:left="2880" w:hanging="360"/>
      </w:pPr>
      <w:rPr>
        <w:rFonts w:ascii="Symbol" w:hAnsi="Symbol" w:hint="default"/>
      </w:rPr>
    </w:lvl>
    <w:lvl w:ilvl="4" w:tplc="6218B7A6">
      <w:start w:val="1"/>
      <w:numFmt w:val="bullet"/>
      <w:lvlText w:val="o"/>
      <w:lvlJc w:val="left"/>
      <w:pPr>
        <w:ind w:left="3600" w:hanging="360"/>
      </w:pPr>
      <w:rPr>
        <w:rFonts w:ascii="Courier New" w:hAnsi="Courier New" w:hint="default"/>
      </w:rPr>
    </w:lvl>
    <w:lvl w:ilvl="5" w:tplc="DFFA13DA">
      <w:start w:val="1"/>
      <w:numFmt w:val="bullet"/>
      <w:lvlText w:val=""/>
      <w:lvlJc w:val="left"/>
      <w:pPr>
        <w:ind w:left="4320" w:hanging="360"/>
      </w:pPr>
      <w:rPr>
        <w:rFonts w:ascii="Wingdings" w:hAnsi="Wingdings" w:hint="default"/>
      </w:rPr>
    </w:lvl>
    <w:lvl w:ilvl="6" w:tplc="E75C4736">
      <w:start w:val="1"/>
      <w:numFmt w:val="bullet"/>
      <w:lvlText w:val=""/>
      <w:lvlJc w:val="left"/>
      <w:pPr>
        <w:ind w:left="5040" w:hanging="360"/>
      </w:pPr>
      <w:rPr>
        <w:rFonts w:ascii="Symbol" w:hAnsi="Symbol" w:hint="default"/>
      </w:rPr>
    </w:lvl>
    <w:lvl w:ilvl="7" w:tplc="6328939C">
      <w:start w:val="1"/>
      <w:numFmt w:val="bullet"/>
      <w:lvlText w:val="o"/>
      <w:lvlJc w:val="left"/>
      <w:pPr>
        <w:ind w:left="5760" w:hanging="360"/>
      </w:pPr>
      <w:rPr>
        <w:rFonts w:ascii="Courier New" w:hAnsi="Courier New" w:hint="default"/>
      </w:rPr>
    </w:lvl>
    <w:lvl w:ilvl="8" w:tplc="701C5CDE">
      <w:start w:val="1"/>
      <w:numFmt w:val="bullet"/>
      <w:lvlText w:val=""/>
      <w:lvlJc w:val="left"/>
      <w:pPr>
        <w:ind w:left="6480" w:hanging="360"/>
      </w:pPr>
      <w:rPr>
        <w:rFonts w:ascii="Wingdings" w:hAnsi="Wingdings" w:hint="default"/>
      </w:rPr>
    </w:lvl>
  </w:abstractNum>
  <w:abstractNum w:abstractNumId="26" w15:restartNumberingAfterBreak="0">
    <w:nsid w:val="5B9B075B"/>
    <w:multiLevelType w:val="hybridMultilevel"/>
    <w:tmpl w:val="BE020CA2"/>
    <w:lvl w:ilvl="0" w:tplc="13D656D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EC1C72"/>
    <w:multiLevelType w:val="hybridMultilevel"/>
    <w:tmpl w:val="F00C9A40"/>
    <w:lvl w:ilvl="0" w:tplc="02F85A5A">
      <w:start w:val="1"/>
      <w:numFmt w:val="decimal"/>
      <w:pStyle w:val="ListParagraphNumbered"/>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5CF32752"/>
    <w:multiLevelType w:val="hybridMultilevel"/>
    <w:tmpl w:val="5C78DEBC"/>
    <w:lvl w:ilvl="0" w:tplc="2530F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BE74FE"/>
    <w:multiLevelType w:val="multilevel"/>
    <w:tmpl w:val="AA08A90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8AE2603"/>
    <w:multiLevelType w:val="hybridMultilevel"/>
    <w:tmpl w:val="04686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B3D1C94"/>
    <w:multiLevelType w:val="multilevel"/>
    <w:tmpl w:val="22521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33021"/>
    <w:multiLevelType w:val="hybridMultilevel"/>
    <w:tmpl w:val="75883FFC"/>
    <w:lvl w:ilvl="0" w:tplc="77C2B2D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7412663">
    <w:abstractNumId w:val="3"/>
  </w:num>
  <w:num w:numId="2" w16cid:durableId="987900134">
    <w:abstractNumId w:val="13"/>
  </w:num>
  <w:num w:numId="3" w16cid:durableId="534075037">
    <w:abstractNumId w:val="25"/>
  </w:num>
  <w:num w:numId="4" w16cid:durableId="76173330">
    <w:abstractNumId w:val="32"/>
  </w:num>
  <w:num w:numId="5" w16cid:durableId="480344462">
    <w:abstractNumId w:val="9"/>
  </w:num>
  <w:num w:numId="6" w16cid:durableId="294915602">
    <w:abstractNumId w:val="24"/>
  </w:num>
  <w:num w:numId="7" w16cid:durableId="1288123863">
    <w:abstractNumId w:val="16"/>
  </w:num>
  <w:num w:numId="8" w16cid:durableId="827552134">
    <w:abstractNumId w:val="31"/>
  </w:num>
  <w:num w:numId="9" w16cid:durableId="263736269">
    <w:abstractNumId w:val="5"/>
  </w:num>
  <w:num w:numId="10" w16cid:durableId="338124714">
    <w:abstractNumId w:val="17"/>
  </w:num>
  <w:num w:numId="11" w16cid:durableId="1941259384">
    <w:abstractNumId w:val="18"/>
  </w:num>
  <w:num w:numId="12" w16cid:durableId="1908103904">
    <w:abstractNumId w:val="20"/>
  </w:num>
  <w:num w:numId="13" w16cid:durableId="1787652060">
    <w:abstractNumId w:val="4"/>
  </w:num>
  <w:num w:numId="14" w16cid:durableId="1999724569">
    <w:abstractNumId w:val="27"/>
  </w:num>
  <w:num w:numId="15" w16cid:durableId="2129200465">
    <w:abstractNumId w:val="21"/>
  </w:num>
  <w:num w:numId="16" w16cid:durableId="1257133113">
    <w:abstractNumId w:val="10"/>
  </w:num>
  <w:num w:numId="17" w16cid:durableId="179661583">
    <w:abstractNumId w:val="14"/>
  </w:num>
  <w:num w:numId="18" w16cid:durableId="588930286">
    <w:abstractNumId w:val="2"/>
  </w:num>
  <w:num w:numId="19" w16cid:durableId="1843200619">
    <w:abstractNumId w:val="23"/>
  </w:num>
  <w:num w:numId="20" w16cid:durableId="1320697256">
    <w:abstractNumId w:val="12"/>
  </w:num>
  <w:num w:numId="21" w16cid:durableId="1439986436">
    <w:abstractNumId w:val="19"/>
  </w:num>
  <w:num w:numId="22" w16cid:durableId="499124692">
    <w:abstractNumId w:val="11"/>
  </w:num>
  <w:num w:numId="23" w16cid:durableId="50737370">
    <w:abstractNumId w:val="28"/>
  </w:num>
  <w:num w:numId="24" w16cid:durableId="1332106277">
    <w:abstractNumId w:val="26"/>
  </w:num>
  <w:num w:numId="25" w16cid:durableId="1010719518">
    <w:abstractNumId w:val="0"/>
  </w:num>
  <w:num w:numId="26" w16cid:durableId="1904678554">
    <w:abstractNumId w:val="15"/>
  </w:num>
  <w:num w:numId="27" w16cid:durableId="378212570">
    <w:abstractNumId w:val="1"/>
  </w:num>
  <w:num w:numId="28" w16cid:durableId="750855854">
    <w:abstractNumId w:val="8"/>
  </w:num>
  <w:num w:numId="29" w16cid:durableId="610552754">
    <w:abstractNumId w:val="22"/>
  </w:num>
  <w:num w:numId="30" w16cid:durableId="722288226">
    <w:abstractNumId w:val="30"/>
  </w:num>
  <w:num w:numId="31" w16cid:durableId="342509616">
    <w:abstractNumId w:val="32"/>
  </w:num>
  <w:num w:numId="32" w16cid:durableId="2088070310">
    <w:abstractNumId w:val="16"/>
  </w:num>
  <w:num w:numId="33" w16cid:durableId="1906063885">
    <w:abstractNumId w:val="6"/>
  </w:num>
  <w:num w:numId="34" w16cid:durableId="412777313">
    <w:abstractNumId w:val="29"/>
  </w:num>
  <w:num w:numId="35" w16cid:durableId="145216255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B070La4U179kCu8CwR6nb6+BMiCadloYa4hVqUsxMB+d42wPXDyf5sFxjY2KOXIUqFQKCZtFCMs5Y6rXWS48QQ==" w:salt="C5EOggjvVHZfOo6Wa/cuw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64"/>
    <w:rsid w:val="0000015E"/>
    <w:rsid w:val="00002775"/>
    <w:rsid w:val="00003B6D"/>
    <w:rsid w:val="00004291"/>
    <w:rsid w:val="00005CDC"/>
    <w:rsid w:val="000060C7"/>
    <w:rsid w:val="000067CE"/>
    <w:rsid w:val="00010C7A"/>
    <w:rsid w:val="00011AC3"/>
    <w:rsid w:val="00015213"/>
    <w:rsid w:val="00015BD1"/>
    <w:rsid w:val="00016398"/>
    <w:rsid w:val="000206C4"/>
    <w:rsid w:val="00023379"/>
    <w:rsid w:val="00026268"/>
    <w:rsid w:val="00031610"/>
    <w:rsid w:val="00031905"/>
    <w:rsid w:val="000321D0"/>
    <w:rsid w:val="00036E68"/>
    <w:rsid w:val="000371EC"/>
    <w:rsid w:val="0004091E"/>
    <w:rsid w:val="00043333"/>
    <w:rsid w:val="000501FD"/>
    <w:rsid w:val="00050425"/>
    <w:rsid w:val="00052925"/>
    <w:rsid w:val="000537FB"/>
    <w:rsid w:val="000572AC"/>
    <w:rsid w:val="000612F0"/>
    <w:rsid w:val="000615D4"/>
    <w:rsid w:val="00066869"/>
    <w:rsid w:val="000718C5"/>
    <w:rsid w:val="00072804"/>
    <w:rsid w:val="00073AF9"/>
    <w:rsid w:val="00074D58"/>
    <w:rsid w:val="00080704"/>
    <w:rsid w:val="000836CB"/>
    <w:rsid w:val="00083FCE"/>
    <w:rsid w:val="000861AC"/>
    <w:rsid w:val="00086628"/>
    <w:rsid w:val="0008682F"/>
    <w:rsid w:val="00086BF3"/>
    <w:rsid w:val="00090A05"/>
    <w:rsid w:val="00090F55"/>
    <w:rsid w:val="000910DA"/>
    <w:rsid w:val="000935E6"/>
    <w:rsid w:val="00094DA3"/>
    <w:rsid w:val="00095D84"/>
    <w:rsid w:val="00095DAE"/>
    <w:rsid w:val="00097AC7"/>
    <w:rsid w:val="00097AD5"/>
    <w:rsid w:val="000A00AE"/>
    <w:rsid w:val="000A0BB3"/>
    <w:rsid w:val="000A11CD"/>
    <w:rsid w:val="000A2737"/>
    <w:rsid w:val="000A61E5"/>
    <w:rsid w:val="000B1E34"/>
    <w:rsid w:val="000B3988"/>
    <w:rsid w:val="000B5BB4"/>
    <w:rsid w:val="000B7404"/>
    <w:rsid w:val="000B7ADC"/>
    <w:rsid w:val="000C0B23"/>
    <w:rsid w:val="000C15A6"/>
    <w:rsid w:val="000C437B"/>
    <w:rsid w:val="000C71A0"/>
    <w:rsid w:val="000D0816"/>
    <w:rsid w:val="000D33D2"/>
    <w:rsid w:val="000D3811"/>
    <w:rsid w:val="000D4603"/>
    <w:rsid w:val="000D49E8"/>
    <w:rsid w:val="000D6F7A"/>
    <w:rsid w:val="000D7FBB"/>
    <w:rsid w:val="000E0C65"/>
    <w:rsid w:val="000E1045"/>
    <w:rsid w:val="000E1230"/>
    <w:rsid w:val="000E1F78"/>
    <w:rsid w:val="000E3ED1"/>
    <w:rsid w:val="000E53A8"/>
    <w:rsid w:val="000E5A0C"/>
    <w:rsid w:val="000E6F16"/>
    <w:rsid w:val="000F32AB"/>
    <w:rsid w:val="000F461C"/>
    <w:rsid w:val="000F649A"/>
    <w:rsid w:val="0010137A"/>
    <w:rsid w:val="00101782"/>
    <w:rsid w:val="00102ED5"/>
    <w:rsid w:val="0010328A"/>
    <w:rsid w:val="00103612"/>
    <w:rsid w:val="00106094"/>
    <w:rsid w:val="0010722E"/>
    <w:rsid w:val="001074E8"/>
    <w:rsid w:val="00107700"/>
    <w:rsid w:val="001112D7"/>
    <w:rsid w:val="0011295E"/>
    <w:rsid w:val="00114B3A"/>
    <w:rsid w:val="00114F04"/>
    <w:rsid w:val="001215EA"/>
    <w:rsid w:val="00121D88"/>
    <w:rsid w:val="0012404B"/>
    <w:rsid w:val="00124698"/>
    <w:rsid w:val="00125FBA"/>
    <w:rsid w:val="001314F8"/>
    <w:rsid w:val="00131931"/>
    <w:rsid w:val="00133E5C"/>
    <w:rsid w:val="00134550"/>
    <w:rsid w:val="00134CF8"/>
    <w:rsid w:val="00134FA4"/>
    <w:rsid w:val="00141AE4"/>
    <w:rsid w:val="0014208C"/>
    <w:rsid w:val="00145C98"/>
    <w:rsid w:val="00145FB5"/>
    <w:rsid w:val="00146788"/>
    <w:rsid w:val="001514CA"/>
    <w:rsid w:val="0015294D"/>
    <w:rsid w:val="00153937"/>
    <w:rsid w:val="00155CE2"/>
    <w:rsid w:val="00156117"/>
    <w:rsid w:val="0015793B"/>
    <w:rsid w:val="00161DD9"/>
    <w:rsid w:val="001632DB"/>
    <w:rsid w:val="00163DE3"/>
    <w:rsid w:val="001659E3"/>
    <w:rsid w:val="00166D9E"/>
    <w:rsid w:val="001712F5"/>
    <w:rsid w:val="001715EB"/>
    <w:rsid w:val="001723EE"/>
    <w:rsid w:val="00174834"/>
    <w:rsid w:val="00180377"/>
    <w:rsid w:val="00180A74"/>
    <w:rsid w:val="00182768"/>
    <w:rsid w:val="00183F5F"/>
    <w:rsid w:val="00184010"/>
    <w:rsid w:val="00186A15"/>
    <w:rsid w:val="00187E03"/>
    <w:rsid w:val="00187E8B"/>
    <w:rsid w:val="0019017B"/>
    <w:rsid w:val="00191787"/>
    <w:rsid w:val="001955EB"/>
    <w:rsid w:val="00195B70"/>
    <w:rsid w:val="00196042"/>
    <w:rsid w:val="00196F35"/>
    <w:rsid w:val="001A28F7"/>
    <w:rsid w:val="001A399D"/>
    <w:rsid w:val="001A52A2"/>
    <w:rsid w:val="001A5791"/>
    <w:rsid w:val="001A7497"/>
    <w:rsid w:val="001B058B"/>
    <w:rsid w:val="001B07B2"/>
    <w:rsid w:val="001B0C82"/>
    <w:rsid w:val="001B2043"/>
    <w:rsid w:val="001B3022"/>
    <w:rsid w:val="001B318C"/>
    <w:rsid w:val="001B4A43"/>
    <w:rsid w:val="001B7286"/>
    <w:rsid w:val="001B7C26"/>
    <w:rsid w:val="001B7C53"/>
    <w:rsid w:val="001C0ABF"/>
    <w:rsid w:val="001C1D57"/>
    <w:rsid w:val="001C2062"/>
    <w:rsid w:val="001C38A6"/>
    <w:rsid w:val="001C3E55"/>
    <w:rsid w:val="001C40D3"/>
    <w:rsid w:val="001C5D74"/>
    <w:rsid w:val="001C71A2"/>
    <w:rsid w:val="001C7223"/>
    <w:rsid w:val="001C7538"/>
    <w:rsid w:val="001D1435"/>
    <w:rsid w:val="001D32D7"/>
    <w:rsid w:val="001D4B14"/>
    <w:rsid w:val="001D543B"/>
    <w:rsid w:val="001D7076"/>
    <w:rsid w:val="001E155C"/>
    <w:rsid w:val="001E3A51"/>
    <w:rsid w:val="001E659D"/>
    <w:rsid w:val="001F0AF0"/>
    <w:rsid w:val="001F422E"/>
    <w:rsid w:val="001F53D6"/>
    <w:rsid w:val="001F6265"/>
    <w:rsid w:val="001F62DE"/>
    <w:rsid w:val="001F7D92"/>
    <w:rsid w:val="0020079F"/>
    <w:rsid w:val="00200EA5"/>
    <w:rsid w:val="00201132"/>
    <w:rsid w:val="00204066"/>
    <w:rsid w:val="002040D5"/>
    <w:rsid w:val="00206496"/>
    <w:rsid w:val="00206F3C"/>
    <w:rsid w:val="002074D8"/>
    <w:rsid w:val="0021178B"/>
    <w:rsid w:val="0021214E"/>
    <w:rsid w:val="002123E6"/>
    <w:rsid w:val="0021277F"/>
    <w:rsid w:val="002131D0"/>
    <w:rsid w:val="00213335"/>
    <w:rsid w:val="0021376E"/>
    <w:rsid w:val="0021488A"/>
    <w:rsid w:val="0021750E"/>
    <w:rsid w:val="002176CC"/>
    <w:rsid w:val="00220566"/>
    <w:rsid w:val="00220A94"/>
    <w:rsid w:val="0022473E"/>
    <w:rsid w:val="002261F1"/>
    <w:rsid w:val="002271CE"/>
    <w:rsid w:val="00230AE6"/>
    <w:rsid w:val="002311D5"/>
    <w:rsid w:val="00231420"/>
    <w:rsid w:val="00233256"/>
    <w:rsid w:val="00233686"/>
    <w:rsid w:val="002347C0"/>
    <w:rsid w:val="00236BF1"/>
    <w:rsid w:val="002373B7"/>
    <w:rsid w:val="002413B0"/>
    <w:rsid w:val="002413C2"/>
    <w:rsid w:val="002419D2"/>
    <w:rsid w:val="00243E5C"/>
    <w:rsid w:val="00244D74"/>
    <w:rsid w:val="00244D9C"/>
    <w:rsid w:val="00244F1F"/>
    <w:rsid w:val="002519F8"/>
    <w:rsid w:val="00252B2C"/>
    <w:rsid w:val="00253431"/>
    <w:rsid w:val="00254CF6"/>
    <w:rsid w:val="00255704"/>
    <w:rsid w:val="00255862"/>
    <w:rsid w:val="00255C20"/>
    <w:rsid w:val="0025656F"/>
    <w:rsid w:val="00256BA7"/>
    <w:rsid w:val="002577E6"/>
    <w:rsid w:val="0026306D"/>
    <w:rsid w:val="002646C6"/>
    <w:rsid w:val="002655F3"/>
    <w:rsid w:val="00265E26"/>
    <w:rsid w:val="00267776"/>
    <w:rsid w:val="0027007C"/>
    <w:rsid w:val="002700AF"/>
    <w:rsid w:val="00270D89"/>
    <w:rsid w:val="00272A94"/>
    <w:rsid w:val="00275A6B"/>
    <w:rsid w:val="00276CB3"/>
    <w:rsid w:val="0027732A"/>
    <w:rsid w:val="0028335A"/>
    <w:rsid w:val="0028521E"/>
    <w:rsid w:val="00287360"/>
    <w:rsid w:val="00287F40"/>
    <w:rsid w:val="00292D6A"/>
    <w:rsid w:val="00294929"/>
    <w:rsid w:val="00295126"/>
    <w:rsid w:val="002954A8"/>
    <w:rsid w:val="00296AEE"/>
    <w:rsid w:val="002A2C19"/>
    <w:rsid w:val="002A2E7A"/>
    <w:rsid w:val="002A39F1"/>
    <w:rsid w:val="002A3B2A"/>
    <w:rsid w:val="002A3E79"/>
    <w:rsid w:val="002A4951"/>
    <w:rsid w:val="002A5E3F"/>
    <w:rsid w:val="002A6057"/>
    <w:rsid w:val="002A72A6"/>
    <w:rsid w:val="002A78F4"/>
    <w:rsid w:val="002B05B9"/>
    <w:rsid w:val="002B16C5"/>
    <w:rsid w:val="002B2F59"/>
    <w:rsid w:val="002B435B"/>
    <w:rsid w:val="002B68BE"/>
    <w:rsid w:val="002B7176"/>
    <w:rsid w:val="002C0492"/>
    <w:rsid w:val="002C13AC"/>
    <w:rsid w:val="002C4FA1"/>
    <w:rsid w:val="002C648D"/>
    <w:rsid w:val="002D046D"/>
    <w:rsid w:val="002D09B3"/>
    <w:rsid w:val="002D1E5A"/>
    <w:rsid w:val="002D3808"/>
    <w:rsid w:val="002D427D"/>
    <w:rsid w:val="002D487C"/>
    <w:rsid w:val="002D4C4A"/>
    <w:rsid w:val="002D58DB"/>
    <w:rsid w:val="002E78BE"/>
    <w:rsid w:val="002F1960"/>
    <w:rsid w:val="002F460A"/>
    <w:rsid w:val="002F57C6"/>
    <w:rsid w:val="002F5D4A"/>
    <w:rsid w:val="002F7161"/>
    <w:rsid w:val="00300200"/>
    <w:rsid w:val="00301889"/>
    <w:rsid w:val="00301DF0"/>
    <w:rsid w:val="00303686"/>
    <w:rsid w:val="0030583D"/>
    <w:rsid w:val="00306062"/>
    <w:rsid w:val="0030663C"/>
    <w:rsid w:val="003078D2"/>
    <w:rsid w:val="00307B58"/>
    <w:rsid w:val="00307C48"/>
    <w:rsid w:val="003103AE"/>
    <w:rsid w:val="00310A05"/>
    <w:rsid w:val="00313573"/>
    <w:rsid w:val="00314944"/>
    <w:rsid w:val="00315FD2"/>
    <w:rsid w:val="00316A2A"/>
    <w:rsid w:val="00316C67"/>
    <w:rsid w:val="00316DDC"/>
    <w:rsid w:val="00325C5F"/>
    <w:rsid w:val="003262B2"/>
    <w:rsid w:val="00326ADD"/>
    <w:rsid w:val="00327443"/>
    <w:rsid w:val="00331704"/>
    <w:rsid w:val="00333A4D"/>
    <w:rsid w:val="00334224"/>
    <w:rsid w:val="003349CA"/>
    <w:rsid w:val="003354DB"/>
    <w:rsid w:val="0033655B"/>
    <w:rsid w:val="00336E1E"/>
    <w:rsid w:val="0033731E"/>
    <w:rsid w:val="00341C10"/>
    <w:rsid w:val="0034235D"/>
    <w:rsid w:val="003432EE"/>
    <w:rsid w:val="00345968"/>
    <w:rsid w:val="00346EEE"/>
    <w:rsid w:val="00346F5E"/>
    <w:rsid w:val="0035254D"/>
    <w:rsid w:val="00357368"/>
    <w:rsid w:val="00357464"/>
    <w:rsid w:val="00360D3E"/>
    <w:rsid w:val="0036138B"/>
    <w:rsid w:val="0036251E"/>
    <w:rsid w:val="003634A6"/>
    <w:rsid w:val="0036454A"/>
    <w:rsid w:val="0036529C"/>
    <w:rsid w:val="003667AE"/>
    <w:rsid w:val="003733C2"/>
    <w:rsid w:val="00373CF9"/>
    <w:rsid w:val="0037488C"/>
    <w:rsid w:val="00377B0E"/>
    <w:rsid w:val="003812E0"/>
    <w:rsid w:val="003821CF"/>
    <w:rsid w:val="00382A0B"/>
    <w:rsid w:val="00382BC7"/>
    <w:rsid w:val="003844AB"/>
    <w:rsid w:val="00384D19"/>
    <w:rsid w:val="0039158B"/>
    <w:rsid w:val="003946D7"/>
    <w:rsid w:val="00394AEA"/>
    <w:rsid w:val="00395998"/>
    <w:rsid w:val="003963DF"/>
    <w:rsid w:val="003972E4"/>
    <w:rsid w:val="003A0D03"/>
    <w:rsid w:val="003A2C94"/>
    <w:rsid w:val="003A3AB1"/>
    <w:rsid w:val="003A54E8"/>
    <w:rsid w:val="003A5CB0"/>
    <w:rsid w:val="003B0E87"/>
    <w:rsid w:val="003B13EB"/>
    <w:rsid w:val="003B17A2"/>
    <w:rsid w:val="003B372B"/>
    <w:rsid w:val="003B3FEB"/>
    <w:rsid w:val="003B58AC"/>
    <w:rsid w:val="003C0506"/>
    <w:rsid w:val="003C2BE9"/>
    <w:rsid w:val="003C4721"/>
    <w:rsid w:val="003D0F9D"/>
    <w:rsid w:val="003D25DE"/>
    <w:rsid w:val="003D2A41"/>
    <w:rsid w:val="003D36CF"/>
    <w:rsid w:val="003D4669"/>
    <w:rsid w:val="003D6B41"/>
    <w:rsid w:val="003D731E"/>
    <w:rsid w:val="003E008B"/>
    <w:rsid w:val="003E1625"/>
    <w:rsid w:val="003E2000"/>
    <w:rsid w:val="003E2543"/>
    <w:rsid w:val="003E2F06"/>
    <w:rsid w:val="003E4E9B"/>
    <w:rsid w:val="003E694F"/>
    <w:rsid w:val="003E7A79"/>
    <w:rsid w:val="003E7E5F"/>
    <w:rsid w:val="003F0108"/>
    <w:rsid w:val="003F0BFF"/>
    <w:rsid w:val="003F2282"/>
    <w:rsid w:val="003F360B"/>
    <w:rsid w:val="003F526A"/>
    <w:rsid w:val="003F52D5"/>
    <w:rsid w:val="003F727E"/>
    <w:rsid w:val="003F731A"/>
    <w:rsid w:val="00400F5C"/>
    <w:rsid w:val="0040149E"/>
    <w:rsid w:val="00401C0E"/>
    <w:rsid w:val="00402A05"/>
    <w:rsid w:val="00402D66"/>
    <w:rsid w:val="0040381C"/>
    <w:rsid w:val="00404283"/>
    <w:rsid w:val="00405FF4"/>
    <w:rsid w:val="00407428"/>
    <w:rsid w:val="00410585"/>
    <w:rsid w:val="00410A62"/>
    <w:rsid w:val="00410AA1"/>
    <w:rsid w:val="00412B2A"/>
    <w:rsid w:val="00415FAF"/>
    <w:rsid w:val="00416744"/>
    <w:rsid w:val="00420842"/>
    <w:rsid w:val="004222FF"/>
    <w:rsid w:val="00423339"/>
    <w:rsid w:val="00427070"/>
    <w:rsid w:val="00427778"/>
    <w:rsid w:val="00427E58"/>
    <w:rsid w:val="004304C9"/>
    <w:rsid w:val="004306CA"/>
    <w:rsid w:val="004307F7"/>
    <w:rsid w:val="00430D3D"/>
    <w:rsid w:val="004315FF"/>
    <w:rsid w:val="0043270B"/>
    <w:rsid w:val="004338D9"/>
    <w:rsid w:val="00434353"/>
    <w:rsid w:val="00434429"/>
    <w:rsid w:val="00434760"/>
    <w:rsid w:val="00434B78"/>
    <w:rsid w:val="00440556"/>
    <w:rsid w:val="00440757"/>
    <w:rsid w:val="00441F80"/>
    <w:rsid w:val="00442EB1"/>
    <w:rsid w:val="00443D79"/>
    <w:rsid w:val="00446146"/>
    <w:rsid w:val="0044667D"/>
    <w:rsid w:val="00447A06"/>
    <w:rsid w:val="004508E1"/>
    <w:rsid w:val="004513B3"/>
    <w:rsid w:val="004552EC"/>
    <w:rsid w:val="00460FC7"/>
    <w:rsid w:val="004640C0"/>
    <w:rsid w:val="004643D4"/>
    <w:rsid w:val="00465D30"/>
    <w:rsid w:val="00467F9F"/>
    <w:rsid w:val="00470298"/>
    <w:rsid w:val="004707BC"/>
    <w:rsid w:val="00472DA3"/>
    <w:rsid w:val="004732EA"/>
    <w:rsid w:val="004753B2"/>
    <w:rsid w:val="00475462"/>
    <w:rsid w:val="00475DAE"/>
    <w:rsid w:val="00481E8C"/>
    <w:rsid w:val="00482BC6"/>
    <w:rsid w:val="00483D03"/>
    <w:rsid w:val="00484A5A"/>
    <w:rsid w:val="00490D47"/>
    <w:rsid w:val="00490DC2"/>
    <w:rsid w:val="00490FA7"/>
    <w:rsid w:val="00491BB5"/>
    <w:rsid w:val="00491F07"/>
    <w:rsid w:val="00493EC7"/>
    <w:rsid w:val="004975EE"/>
    <w:rsid w:val="004978B3"/>
    <w:rsid w:val="004A0723"/>
    <w:rsid w:val="004A2DA2"/>
    <w:rsid w:val="004A5865"/>
    <w:rsid w:val="004A58A5"/>
    <w:rsid w:val="004A59A6"/>
    <w:rsid w:val="004A65A3"/>
    <w:rsid w:val="004B0D1B"/>
    <w:rsid w:val="004B1E85"/>
    <w:rsid w:val="004B37D3"/>
    <w:rsid w:val="004C0557"/>
    <w:rsid w:val="004C1138"/>
    <w:rsid w:val="004C38A0"/>
    <w:rsid w:val="004C511C"/>
    <w:rsid w:val="004C5B4F"/>
    <w:rsid w:val="004C5D90"/>
    <w:rsid w:val="004C72D6"/>
    <w:rsid w:val="004D01C3"/>
    <w:rsid w:val="004D14A7"/>
    <w:rsid w:val="004D4AD7"/>
    <w:rsid w:val="004D60A3"/>
    <w:rsid w:val="004D6A49"/>
    <w:rsid w:val="004D6A97"/>
    <w:rsid w:val="004E2CE7"/>
    <w:rsid w:val="004E3560"/>
    <w:rsid w:val="004E402A"/>
    <w:rsid w:val="004E4E70"/>
    <w:rsid w:val="004E6B43"/>
    <w:rsid w:val="004E725A"/>
    <w:rsid w:val="004E72AA"/>
    <w:rsid w:val="004F040E"/>
    <w:rsid w:val="004F0855"/>
    <w:rsid w:val="004F187B"/>
    <w:rsid w:val="004F2049"/>
    <w:rsid w:val="004F3086"/>
    <w:rsid w:val="004F364D"/>
    <w:rsid w:val="004F3853"/>
    <w:rsid w:val="004F437F"/>
    <w:rsid w:val="004F450A"/>
    <w:rsid w:val="004F513F"/>
    <w:rsid w:val="004F58CC"/>
    <w:rsid w:val="004F5B1C"/>
    <w:rsid w:val="004F721D"/>
    <w:rsid w:val="0050087B"/>
    <w:rsid w:val="00500FFC"/>
    <w:rsid w:val="005011F3"/>
    <w:rsid w:val="0050220E"/>
    <w:rsid w:val="00502294"/>
    <w:rsid w:val="00503201"/>
    <w:rsid w:val="0050392F"/>
    <w:rsid w:val="00503D4F"/>
    <w:rsid w:val="00504413"/>
    <w:rsid w:val="005060BC"/>
    <w:rsid w:val="0050655F"/>
    <w:rsid w:val="005066C7"/>
    <w:rsid w:val="00506E70"/>
    <w:rsid w:val="00514293"/>
    <w:rsid w:val="0051587E"/>
    <w:rsid w:val="00521CB5"/>
    <w:rsid w:val="00523C7B"/>
    <w:rsid w:val="00525326"/>
    <w:rsid w:val="005255AE"/>
    <w:rsid w:val="00527EFD"/>
    <w:rsid w:val="00532E2A"/>
    <w:rsid w:val="00533F42"/>
    <w:rsid w:val="0053410C"/>
    <w:rsid w:val="00536206"/>
    <w:rsid w:val="00537B3C"/>
    <w:rsid w:val="005418F9"/>
    <w:rsid w:val="00542099"/>
    <w:rsid w:val="0054402A"/>
    <w:rsid w:val="00544285"/>
    <w:rsid w:val="00544FED"/>
    <w:rsid w:val="00546176"/>
    <w:rsid w:val="005541AD"/>
    <w:rsid w:val="00554915"/>
    <w:rsid w:val="0055531A"/>
    <w:rsid w:val="00556019"/>
    <w:rsid w:val="00560114"/>
    <w:rsid w:val="00562D16"/>
    <w:rsid w:val="005645D6"/>
    <w:rsid w:val="0056556B"/>
    <w:rsid w:val="00571FE4"/>
    <w:rsid w:val="00572267"/>
    <w:rsid w:val="00572654"/>
    <w:rsid w:val="00573100"/>
    <w:rsid w:val="005736CA"/>
    <w:rsid w:val="00573778"/>
    <w:rsid w:val="0057588A"/>
    <w:rsid w:val="00575E72"/>
    <w:rsid w:val="00577AB8"/>
    <w:rsid w:val="00577F0C"/>
    <w:rsid w:val="00577F3F"/>
    <w:rsid w:val="00580378"/>
    <w:rsid w:val="005820F6"/>
    <w:rsid w:val="005824F0"/>
    <w:rsid w:val="00582BD7"/>
    <w:rsid w:val="00583508"/>
    <w:rsid w:val="0058512C"/>
    <w:rsid w:val="005856B0"/>
    <w:rsid w:val="00590219"/>
    <w:rsid w:val="0059202D"/>
    <w:rsid w:val="00593E40"/>
    <w:rsid w:val="00593F56"/>
    <w:rsid w:val="00595BC1"/>
    <w:rsid w:val="005A2301"/>
    <w:rsid w:val="005A2833"/>
    <w:rsid w:val="005A2C1B"/>
    <w:rsid w:val="005A3721"/>
    <w:rsid w:val="005A43AA"/>
    <w:rsid w:val="005A4572"/>
    <w:rsid w:val="005A5A9C"/>
    <w:rsid w:val="005A62B9"/>
    <w:rsid w:val="005A7668"/>
    <w:rsid w:val="005A7D73"/>
    <w:rsid w:val="005B04AE"/>
    <w:rsid w:val="005B1353"/>
    <w:rsid w:val="005B16F4"/>
    <w:rsid w:val="005B2737"/>
    <w:rsid w:val="005B6441"/>
    <w:rsid w:val="005C3A76"/>
    <w:rsid w:val="005C5783"/>
    <w:rsid w:val="005D4532"/>
    <w:rsid w:val="005D53FD"/>
    <w:rsid w:val="005D6A49"/>
    <w:rsid w:val="005D7D08"/>
    <w:rsid w:val="005D7D5F"/>
    <w:rsid w:val="005E1970"/>
    <w:rsid w:val="005E3629"/>
    <w:rsid w:val="005E4E97"/>
    <w:rsid w:val="005E5C23"/>
    <w:rsid w:val="005E5F07"/>
    <w:rsid w:val="005F0E04"/>
    <w:rsid w:val="005F1209"/>
    <w:rsid w:val="005F1FB7"/>
    <w:rsid w:val="005F2234"/>
    <w:rsid w:val="005F4023"/>
    <w:rsid w:val="005F50DE"/>
    <w:rsid w:val="005F54D2"/>
    <w:rsid w:val="005F7A6C"/>
    <w:rsid w:val="00606080"/>
    <w:rsid w:val="006122ED"/>
    <w:rsid w:val="00612F1E"/>
    <w:rsid w:val="0061378A"/>
    <w:rsid w:val="00620104"/>
    <w:rsid w:val="006211B0"/>
    <w:rsid w:val="006226D6"/>
    <w:rsid w:val="0062348E"/>
    <w:rsid w:val="00624262"/>
    <w:rsid w:val="00626A1B"/>
    <w:rsid w:val="00627051"/>
    <w:rsid w:val="006311F0"/>
    <w:rsid w:val="00631D11"/>
    <w:rsid w:val="0063367B"/>
    <w:rsid w:val="006340B0"/>
    <w:rsid w:val="00635A46"/>
    <w:rsid w:val="00636A67"/>
    <w:rsid w:val="00637712"/>
    <w:rsid w:val="00637983"/>
    <w:rsid w:val="00637E7D"/>
    <w:rsid w:val="00640142"/>
    <w:rsid w:val="00640E6A"/>
    <w:rsid w:val="00642D45"/>
    <w:rsid w:val="00642FDC"/>
    <w:rsid w:val="00643354"/>
    <w:rsid w:val="0065283C"/>
    <w:rsid w:val="00656397"/>
    <w:rsid w:val="00657354"/>
    <w:rsid w:val="00660141"/>
    <w:rsid w:val="00666979"/>
    <w:rsid w:val="00667B85"/>
    <w:rsid w:val="00670096"/>
    <w:rsid w:val="006706B6"/>
    <w:rsid w:val="00670A8A"/>
    <w:rsid w:val="0067136D"/>
    <w:rsid w:val="006727E0"/>
    <w:rsid w:val="00672A3B"/>
    <w:rsid w:val="00673060"/>
    <w:rsid w:val="0067446D"/>
    <w:rsid w:val="006758C0"/>
    <w:rsid w:val="006761F8"/>
    <w:rsid w:val="00680E7A"/>
    <w:rsid w:val="006816BC"/>
    <w:rsid w:val="006833D7"/>
    <w:rsid w:val="00683804"/>
    <w:rsid w:val="00690ABB"/>
    <w:rsid w:val="00692473"/>
    <w:rsid w:val="006962FB"/>
    <w:rsid w:val="00697B7B"/>
    <w:rsid w:val="00697F80"/>
    <w:rsid w:val="006A12A2"/>
    <w:rsid w:val="006A2F3B"/>
    <w:rsid w:val="006A354F"/>
    <w:rsid w:val="006A39B1"/>
    <w:rsid w:val="006A6B5E"/>
    <w:rsid w:val="006B25F1"/>
    <w:rsid w:val="006B38D1"/>
    <w:rsid w:val="006B3D38"/>
    <w:rsid w:val="006B43EE"/>
    <w:rsid w:val="006B46AA"/>
    <w:rsid w:val="006B4B1B"/>
    <w:rsid w:val="006B4CA0"/>
    <w:rsid w:val="006B4FBA"/>
    <w:rsid w:val="006B6CD0"/>
    <w:rsid w:val="006B7C50"/>
    <w:rsid w:val="006C03AA"/>
    <w:rsid w:val="006C05E3"/>
    <w:rsid w:val="006C1BA0"/>
    <w:rsid w:val="006C2CF8"/>
    <w:rsid w:val="006C5E43"/>
    <w:rsid w:val="006C6062"/>
    <w:rsid w:val="006C693E"/>
    <w:rsid w:val="006D010B"/>
    <w:rsid w:val="006D1D71"/>
    <w:rsid w:val="006D460F"/>
    <w:rsid w:val="006D6742"/>
    <w:rsid w:val="006D69F1"/>
    <w:rsid w:val="006D73C0"/>
    <w:rsid w:val="006E05F8"/>
    <w:rsid w:val="006E0E6E"/>
    <w:rsid w:val="006E43C0"/>
    <w:rsid w:val="006E57A8"/>
    <w:rsid w:val="006F0F77"/>
    <w:rsid w:val="006F19A6"/>
    <w:rsid w:val="006F40F2"/>
    <w:rsid w:val="006F5D9C"/>
    <w:rsid w:val="006F7812"/>
    <w:rsid w:val="006F7FEC"/>
    <w:rsid w:val="00702374"/>
    <w:rsid w:val="00702A43"/>
    <w:rsid w:val="00704D3D"/>
    <w:rsid w:val="00705A24"/>
    <w:rsid w:val="007106F5"/>
    <w:rsid w:val="00712B01"/>
    <w:rsid w:val="00714091"/>
    <w:rsid w:val="007160AC"/>
    <w:rsid w:val="00716145"/>
    <w:rsid w:val="00722391"/>
    <w:rsid w:val="007238CF"/>
    <w:rsid w:val="0072730C"/>
    <w:rsid w:val="00731EA8"/>
    <w:rsid w:val="00732255"/>
    <w:rsid w:val="007345CD"/>
    <w:rsid w:val="00734F9F"/>
    <w:rsid w:val="00735212"/>
    <w:rsid w:val="0073702E"/>
    <w:rsid w:val="00740CA9"/>
    <w:rsid w:val="007413FA"/>
    <w:rsid w:val="0074283F"/>
    <w:rsid w:val="007429BA"/>
    <w:rsid w:val="00743B30"/>
    <w:rsid w:val="00744704"/>
    <w:rsid w:val="007455A6"/>
    <w:rsid w:val="007529DC"/>
    <w:rsid w:val="007535B1"/>
    <w:rsid w:val="00755F10"/>
    <w:rsid w:val="00756E0F"/>
    <w:rsid w:val="00763126"/>
    <w:rsid w:val="00764479"/>
    <w:rsid w:val="0076487E"/>
    <w:rsid w:val="00766037"/>
    <w:rsid w:val="00771EA5"/>
    <w:rsid w:val="00772E29"/>
    <w:rsid w:val="007777D0"/>
    <w:rsid w:val="00781538"/>
    <w:rsid w:val="00781EAF"/>
    <w:rsid w:val="00782F88"/>
    <w:rsid w:val="00783F92"/>
    <w:rsid w:val="00785D5D"/>
    <w:rsid w:val="00791A0C"/>
    <w:rsid w:val="007959BB"/>
    <w:rsid w:val="00797070"/>
    <w:rsid w:val="007A072E"/>
    <w:rsid w:val="007A09BA"/>
    <w:rsid w:val="007A35E1"/>
    <w:rsid w:val="007A5BB8"/>
    <w:rsid w:val="007B0D6A"/>
    <w:rsid w:val="007B45F7"/>
    <w:rsid w:val="007B562B"/>
    <w:rsid w:val="007B6058"/>
    <w:rsid w:val="007B771B"/>
    <w:rsid w:val="007C1268"/>
    <w:rsid w:val="007C25C1"/>
    <w:rsid w:val="007C54F0"/>
    <w:rsid w:val="007C74E8"/>
    <w:rsid w:val="007C7546"/>
    <w:rsid w:val="007C795B"/>
    <w:rsid w:val="007C79B3"/>
    <w:rsid w:val="007D34AD"/>
    <w:rsid w:val="007D3574"/>
    <w:rsid w:val="007D3652"/>
    <w:rsid w:val="007D4E35"/>
    <w:rsid w:val="007D5217"/>
    <w:rsid w:val="007D6A34"/>
    <w:rsid w:val="007D74D5"/>
    <w:rsid w:val="007E0891"/>
    <w:rsid w:val="007E09A0"/>
    <w:rsid w:val="007E0EF1"/>
    <w:rsid w:val="007E21AC"/>
    <w:rsid w:val="007E2648"/>
    <w:rsid w:val="007E2E13"/>
    <w:rsid w:val="007E43FE"/>
    <w:rsid w:val="007E6F93"/>
    <w:rsid w:val="007E73CE"/>
    <w:rsid w:val="007F0B4D"/>
    <w:rsid w:val="007F5F36"/>
    <w:rsid w:val="007F6C44"/>
    <w:rsid w:val="007F6CD4"/>
    <w:rsid w:val="007F7358"/>
    <w:rsid w:val="00800C32"/>
    <w:rsid w:val="008041A7"/>
    <w:rsid w:val="008045B3"/>
    <w:rsid w:val="00804610"/>
    <w:rsid w:val="00804AEE"/>
    <w:rsid w:val="008109F7"/>
    <w:rsid w:val="00814CF0"/>
    <w:rsid w:val="00817958"/>
    <w:rsid w:val="00817ECD"/>
    <w:rsid w:val="00820E4A"/>
    <w:rsid w:val="008216BE"/>
    <w:rsid w:val="00822A55"/>
    <w:rsid w:val="00822DB1"/>
    <w:rsid w:val="00823ED8"/>
    <w:rsid w:val="00824036"/>
    <w:rsid w:val="008260E5"/>
    <w:rsid w:val="00831513"/>
    <w:rsid w:val="0083187B"/>
    <w:rsid w:val="00831D86"/>
    <w:rsid w:val="00832C4E"/>
    <w:rsid w:val="0083411E"/>
    <w:rsid w:val="0083628F"/>
    <w:rsid w:val="008368AD"/>
    <w:rsid w:val="00836E28"/>
    <w:rsid w:val="00840975"/>
    <w:rsid w:val="008418A6"/>
    <w:rsid w:val="008471D0"/>
    <w:rsid w:val="00847317"/>
    <w:rsid w:val="00847867"/>
    <w:rsid w:val="0085064D"/>
    <w:rsid w:val="00850D02"/>
    <w:rsid w:val="0085278A"/>
    <w:rsid w:val="0085313D"/>
    <w:rsid w:val="008532E9"/>
    <w:rsid w:val="008536F6"/>
    <w:rsid w:val="00854990"/>
    <w:rsid w:val="008573AF"/>
    <w:rsid w:val="0086252D"/>
    <w:rsid w:val="00864208"/>
    <w:rsid w:val="0086456B"/>
    <w:rsid w:val="00871A0B"/>
    <w:rsid w:val="00873343"/>
    <w:rsid w:val="0087395E"/>
    <w:rsid w:val="00882155"/>
    <w:rsid w:val="00883152"/>
    <w:rsid w:val="00884D98"/>
    <w:rsid w:val="00885F4E"/>
    <w:rsid w:val="00886772"/>
    <w:rsid w:val="00887349"/>
    <w:rsid w:val="00887F94"/>
    <w:rsid w:val="00890FD5"/>
    <w:rsid w:val="00891F23"/>
    <w:rsid w:val="00894764"/>
    <w:rsid w:val="00894838"/>
    <w:rsid w:val="00894D11"/>
    <w:rsid w:val="008951AC"/>
    <w:rsid w:val="0089535E"/>
    <w:rsid w:val="00896379"/>
    <w:rsid w:val="00897556"/>
    <w:rsid w:val="0089765A"/>
    <w:rsid w:val="00897CAB"/>
    <w:rsid w:val="008A0186"/>
    <w:rsid w:val="008A10CD"/>
    <w:rsid w:val="008A115A"/>
    <w:rsid w:val="008A252F"/>
    <w:rsid w:val="008A6042"/>
    <w:rsid w:val="008A67D3"/>
    <w:rsid w:val="008B0884"/>
    <w:rsid w:val="008B2FEC"/>
    <w:rsid w:val="008B6E93"/>
    <w:rsid w:val="008C04B9"/>
    <w:rsid w:val="008C11D6"/>
    <w:rsid w:val="008C11FB"/>
    <w:rsid w:val="008C1BD2"/>
    <w:rsid w:val="008C253A"/>
    <w:rsid w:val="008C27D3"/>
    <w:rsid w:val="008C2E4B"/>
    <w:rsid w:val="008C633B"/>
    <w:rsid w:val="008D016C"/>
    <w:rsid w:val="008D01B3"/>
    <w:rsid w:val="008D09DF"/>
    <w:rsid w:val="008D161B"/>
    <w:rsid w:val="008D1B64"/>
    <w:rsid w:val="008D479C"/>
    <w:rsid w:val="008D6F57"/>
    <w:rsid w:val="008D71D4"/>
    <w:rsid w:val="008E100D"/>
    <w:rsid w:val="008E26D3"/>
    <w:rsid w:val="008E4E88"/>
    <w:rsid w:val="008F1858"/>
    <w:rsid w:val="008F1C0B"/>
    <w:rsid w:val="008F628E"/>
    <w:rsid w:val="008F75CC"/>
    <w:rsid w:val="0090091A"/>
    <w:rsid w:val="00900958"/>
    <w:rsid w:val="00901384"/>
    <w:rsid w:val="009024A9"/>
    <w:rsid w:val="00902CD4"/>
    <w:rsid w:val="009031FB"/>
    <w:rsid w:val="00903DAE"/>
    <w:rsid w:val="00904940"/>
    <w:rsid w:val="0090554C"/>
    <w:rsid w:val="00910464"/>
    <w:rsid w:val="00910BCF"/>
    <w:rsid w:val="00911AF0"/>
    <w:rsid w:val="00912419"/>
    <w:rsid w:val="00915AD2"/>
    <w:rsid w:val="00915F9C"/>
    <w:rsid w:val="00916A5C"/>
    <w:rsid w:val="00917EAB"/>
    <w:rsid w:val="00921670"/>
    <w:rsid w:val="00921A49"/>
    <w:rsid w:val="00921CD5"/>
    <w:rsid w:val="009226B7"/>
    <w:rsid w:val="009233DF"/>
    <w:rsid w:val="009254D5"/>
    <w:rsid w:val="00926278"/>
    <w:rsid w:val="00927B7B"/>
    <w:rsid w:val="00927CD0"/>
    <w:rsid w:val="0093030F"/>
    <w:rsid w:val="009327FE"/>
    <w:rsid w:val="00936017"/>
    <w:rsid w:val="009403D3"/>
    <w:rsid w:val="0094081E"/>
    <w:rsid w:val="009410DF"/>
    <w:rsid w:val="00944025"/>
    <w:rsid w:val="009442AF"/>
    <w:rsid w:val="0094548E"/>
    <w:rsid w:val="009455F1"/>
    <w:rsid w:val="009468D7"/>
    <w:rsid w:val="00947902"/>
    <w:rsid w:val="00947A54"/>
    <w:rsid w:val="00963ADD"/>
    <w:rsid w:val="00964110"/>
    <w:rsid w:val="0096413D"/>
    <w:rsid w:val="00971E0F"/>
    <w:rsid w:val="00973EE7"/>
    <w:rsid w:val="0097482E"/>
    <w:rsid w:val="009757C0"/>
    <w:rsid w:val="009777BD"/>
    <w:rsid w:val="0098098B"/>
    <w:rsid w:val="00980A38"/>
    <w:rsid w:val="00983E1B"/>
    <w:rsid w:val="00984100"/>
    <w:rsid w:val="0098436D"/>
    <w:rsid w:val="00986456"/>
    <w:rsid w:val="00986737"/>
    <w:rsid w:val="0098708B"/>
    <w:rsid w:val="0098CF76"/>
    <w:rsid w:val="00990185"/>
    <w:rsid w:val="00990FB2"/>
    <w:rsid w:val="00990FF8"/>
    <w:rsid w:val="00992017"/>
    <w:rsid w:val="0099333B"/>
    <w:rsid w:val="0099497E"/>
    <w:rsid w:val="00994DE4"/>
    <w:rsid w:val="00996BED"/>
    <w:rsid w:val="00997D37"/>
    <w:rsid w:val="009A127B"/>
    <w:rsid w:val="009A21C2"/>
    <w:rsid w:val="009A3AD3"/>
    <w:rsid w:val="009A3D7D"/>
    <w:rsid w:val="009A6832"/>
    <w:rsid w:val="009B0811"/>
    <w:rsid w:val="009B4C55"/>
    <w:rsid w:val="009B4E72"/>
    <w:rsid w:val="009B4F8B"/>
    <w:rsid w:val="009B79D8"/>
    <w:rsid w:val="009C0F39"/>
    <w:rsid w:val="009C3416"/>
    <w:rsid w:val="009C38FA"/>
    <w:rsid w:val="009C51F0"/>
    <w:rsid w:val="009D2A03"/>
    <w:rsid w:val="009D39D0"/>
    <w:rsid w:val="009D39DC"/>
    <w:rsid w:val="009E24FD"/>
    <w:rsid w:val="009E2A07"/>
    <w:rsid w:val="009E34C3"/>
    <w:rsid w:val="009E6147"/>
    <w:rsid w:val="009E7E38"/>
    <w:rsid w:val="009F163B"/>
    <w:rsid w:val="009F2733"/>
    <w:rsid w:val="009F326E"/>
    <w:rsid w:val="009F35DB"/>
    <w:rsid w:val="009F4808"/>
    <w:rsid w:val="009F60D3"/>
    <w:rsid w:val="009F64DB"/>
    <w:rsid w:val="009F6D0A"/>
    <w:rsid w:val="009F7FAC"/>
    <w:rsid w:val="00A005C1"/>
    <w:rsid w:val="00A00A8A"/>
    <w:rsid w:val="00A018A5"/>
    <w:rsid w:val="00A01FAA"/>
    <w:rsid w:val="00A03415"/>
    <w:rsid w:val="00A04DE0"/>
    <w:rsid w:val="00A0528B"/>
    <w:rsid w:val="00A05795"/>
    <w:rsid w:val="00A07261"/>
    <w:rsid w:val="00A0754B"/>
    <w:rsid w:val="00A10BC3"/>
    <w:rsid w:val="00A11A52"/>
    <w:rsid w:val="00A11CDE"/>
    <w:rsid w:val="00A127BD"/>
    <w:rsid w:val="00A146AA"/>
    <w:rsid w:val="00A1611D"/>
    <w:rsid w:val="00A166A2"/>
    <w:rsid w:val="00A16C0E"/>
    <w:rsid w:val="00A223F3"/>
    <w:rsid w:val="00A22AC2"/>
    <w:rsid w:val="00A2572F"/>
    <w:rsid w:val="00A2607E"/>
    <w:rsid w:val="00A263BD"/>
    <w:rsid w:val="00A30124"/>
    <w:rsid w:val="00A30E58"/>
    <w:rsid w:val="00A32C93"/>
    <w:rsid w:val="00A33E8E"/>
    <w:rsid w:val="00A3427C"/>
    <w:rsid w:val="00A34E10"/>
    <w:rsid w:val="00A35A97"/>
    <w:rsid w:val="00A35FC2"/>
    <w:rsid w:val="00A363D7"/>
    <w:rsid w:val="00A36EE1"/>
    <w:rsid w:val="00A405D9"/>
    <w:rsid w:val="00A40CA3"/>
    <w:rsid w:val="00A43CB4"/>
    <w:rsid w:val="00A44846"/>
    <w:rsid w:val="00A44AFB"/>
    <w:rsid w:val="00A46D26"/>
    <w:rsid w:val="00A508AB"/>
    <w:rsid w:val="00A50B38"/>
    <w:rsid w:val="00A53910"/>
    <w:rsid w:val="00A541E8"/>
    <w:rsid w:val="00A572DE"/>
    <w:rsid w:val="00A576A3"/>
    <w:rsid w:val="00A6206E"/>
    <w:rsid w:val="00A623CB"/>
    <w:rsid w:val="00A62443"/>
    <w:rsid w:val="00A640FE"/>
    <w:rsid w:val="00A651D9"/>
    <w:rsid w:val="00A65F57"/>
    <w:rsid w:val="00A70143"/>
    <w:rsid w:val="00A72822"/>
    <w:rsid w:val="00A74CFC"/>
    <w:rsid w:val="00A75C86"/>
    <w:rsid w:val="00A76D36"/>
    <w:rsid w:val="00A81881"/>
    <w:rsid w:val="00A81E5F"/>
    <w:rsid w:val="00A82B2E"/>
    <w:rsid w:val="00A8358D"/>
    <w:rsid w:val="00A836D2"/>
    <w:rsid w:val="00A836DA"/>
    <w:rsid w:val="00A853BF"/>
    <w:rsid w:val="00A865F2"/>
    <w:rsid w:val="00A86B6A"/>
    <w:rsid w:val="00A87040"/>
    <w:rsid w:val="00A904B6"/>
    <w:rsid w:val="00AA1C4A"/>
    <w:rsid w:val="00AA2EC1"/>
    <w:rsid w:val="00AA347E"/>
    <w:rsid w:val="00AA4311"/>
    <w:rsid w:val="00AA66BC"/>
    <w:rsid w:val="00AA7D46"/>
    <w:rsid w:val="00AB0325"/>
    <w:rsid w:val="00AB0935"/>
    <w:rsid w:val="00AB2178"/>
    <w:rsid w:val="00AB5D4D"/>
    <w:rsid w:val="00AC07B7"/>
    <w:rsid w:val="00AC1563"/>
    <w:rsid w:val="00AC2791"/>
    <w:rsid w:val="00AC2897"/>
    <w:rsid w:val="00AC2936"/>
    <w:rsid w:val="00AC2D28"/>
    <w:rsid w:val="00AC3A14"/>
    <w:rsid w:val="00AC3A38"/>
    <w:rsid w:val="00AC766D"/>
    <w:rsid w:val="00AD39A5"/>
    <w:rsid w:val="00AE178F"/>
    <w:rsid w:val="00AE2326"/>
    <w:rsid w:val="00AE5A3F"/>
    <w:rsid w:val="00AE680C"/>
    <w:rsid w:val="00AE7278"/>
    <w:rsid w:val="00AF1E32"/>
    <w:rsid w:val="00AF1EC8"/>
    <w:rsid w:val="00AF2C0E"/>
    <w:rsid w:val="00AF310F"/>
    <w:rsid w:val="00AF50F6"/>
    <w:rsid w:val="00AF5B6A"/>
    <w:rsid w:val="00AF69C2"/>
    <w:rsid w:val="00AF7162"/>
    <w:rsid w:val="00B0150E"/>
    <w:rsid w:val="00B03211"/>
    <w:rsid w:val="00B04F3A"/>
    <w:rsid w:val="00B0596C"/>
    <w:rsid w:val="00B060F6"/>
    <w:rsid w:val="00B06513"/>
    <w:rsid w:val="00B07426"/>
    <w:rsid w:val="00B10924"/>
    <w:rsid w:val="00B1282D"/>
    <w:rsid w:val="00B12F28"/>
    <w:rsid w:val="00B143E3"/>
    <w:rsid w:val="00B17238"/>
    <w:rsid w:val="00B17451"/>
    <w:rsid w:val="00B20AA6"/>
    <w:rsid w:val="00B2404F"/>
    <w:rsid w:val="00B25599"/>
    <w:rsid w:val="00B273B8"/>
    <w:rsid w:val="00B3102F"/>
    <w:rsid w:val="00B3203F"/>
    <w:rsid w:val="00B35075"/>
    <w:rsid w:val="00B3601F"/>
    <w:rsid w:val="00B36594"/>
    <w:rsid w:val="00B3662E"/>
    <w:rsid w:val="00B37C4A"/>
    <w:rsid w:val="00B40418"/>
    <w:rsid w:val="00B406D7"/>
    <w:rsid w:val="00B41F34"/>
    <w:rsid w:val="00B443C2"/>
    <w:rsid w:val="00B44747"/>
    <w:rsid w:val="00B450E9"/>
    <w:rsid w:val="00B468BA"/>
    <w:rsid w:val="00B46945"/>
    <w:rsid w:val="00B50C27"/>
    <w:rsid w:val="00B534AB"/>
    <w:rsid w:val="00B53540"/>
    <w:rsid w:val="00B57322"/>
    <w:rsid w:val="00B614A2"/>
    <w:rsid w:val="00B62026"/>
    <w:rsid w:val="00B623A4"/>
    <w:rsid w:val="00B627C8"/>
    <w:rsid w:val="00B63F21"/>
    <w:rsid w:val="00B660A2"/>
    <w:rsid w:val="00B66518"/>
    <w:rsid w:val="00B67F92"/>
    <w:rsid w:val="00B72C4F"/>
    <w:rsid w:val="00B73B0D"/>
    <w:rsid w:val="00B73DAD"/>
    <w:rsid w:val="00B74BF1"/>
    <w:rsid w:val="00B74F8C"/>
    <w:rsid w:val="00B75416"/>
    <w:rsid w:val="00B757BA"/>
    <w:rsid w:val="00B75BAD"/>
    <w:rsid w:val="00B75CEE"/>
    <w:rsid w:val="00B80116"/>
    <w:rsid w:val="00B80398"/>
    <w:rsid w:val="00B82330"/>
    <w:rsid w:val="00B83C44"/>
    <w:rsid w:val="00B83C79"/>
    <w:rsid w:val="00B87218"/>
    <w:rsid w:val="00B879A1"/>
    <w:rsid w:val="00B87FF0"/>
    <w:rsid w:val="00B90CEA"/>
    <w:rsid w:val="00B91268"/>
    <w:rsid w:val="00B92736"/>
    <w:rsid w:val="00B941C8"/>
    <w:rsid w:val="00B95A94"/>
    <w:rsid w:val="00B96CA7"/>
    <w:rsid w:val="00BA2636"/>
    <w:rsid w:val="00BA296B"/>
    <w:rsid w:val="00BA46F3"/>
    <w:rsid w:val="00BA627D"/>
    <w:rsid w:val="00BB168E"/>
    <w:rsid w:val="00BB1E44"/>
    <w:rsid w:val="00BB23B3"/>
    <w:rsid w:val="00BB2A36"/>
    <w:rsid w:val="00BB37C9"/>
    <w:rsid w:val="00BB4201"/>
    <w:rsid w:val="00BB4298"/>
    <w:rsid w:val="00BB5E33"/>
    <w:rsid w:val="00BB6F9B"/>
    <w:rsid w:val="00BC14E5"/>
    <w:rsid w:val="00BC344A"/>
    <w:rsid w:val="00BC5231"/>
    <w:rsid w:val="00BC5FE8"/>
    <w:rsid w:val="00BD0EDE"/>
    <w:rsid w:val="00BD2DA7"/>
    <w:rsid w:val="00BD5C6F"/>
    <w:rsid w:val="00BD6227"/>
    <w:rsid w:val="00BD6C95"/>
    <w:rsid w:val="00BD74E4"/>
    <w:rsid w:val="00BD7740"/>
    <w:rsid w:val="00BE0F6D"/>
    <w:rsid w:val="00BE12A4"/>
    <w:rsid w:val="00BE20A4"/>
    <w:rsid w:val="00BE2D7F"/>
    <w:rsid w:val="00BE6A5E"/>
    <w:rsid w:val="00BE7381"/>
    <w:rsid w:val="00BE7921"/>
    <w:rsid w:val="00BF233C"/>
    <w:rsid w:val="00BF5B53"/>
    <w:rsid w:val="00C00038"/>
    <w:rsid w:val="00C01169"/>
    <w:rsid w:val="00C029E1"/>
    <w:rsid w:val="00C03C07"/>
    <w:rsid w:val="00C03F11"/>
    <w:rsid w:val="00C053BE"/>
    <w:rsid w:val="00C05C02"/>
    <w:rsid w:val="00C070C3"/>
    <w:rsid w:val="00C07298"/>
    <w:rsid w:val="00C076B1"/>
    <w:rsid w:val="00C07B3B"/>
    <w:rsid w:val="00C117AF"/>
    <w:rsid w:val="00C11DBC"/>
    <w:rsid w:val="00C14036"/>
    <w:rsid w:val="00C14390"/>
    <w:rsid w:val="00C1546F"/>
    <w:rsid w:val="00C15EE1"/>
    <w:rsid w:val="00C166B8"/>
    <w:rsid w:val="00C174EB"/>
    <w:rsid w:val="00C17ED3"/>
    <w:rsid w:val="00C20D3F"/>
    <w:rsid w:val="00C222F2"/>
    <w:rsid w:val="00C234BD"/>
    <w:rsid w:val="00C2387A"/>
    <w:rsid w:val="00C251CC"/>
    <w:rsid w:val="00C26F38"/>
    <w:rsid w:val="00C30844"/>
    <w:rsid w:val="00C30E19"/>
    <w:rsid w:val="00C31D7A"/>
    <w:rsid w:val="00C31DEF"/>
    <w:rsid w:val="00C324D4"/>
    <w:rsid w:val="00C3341A"/>
    <w:rsid w:val="00C34DA5"/>
    <w:rsid w:val="00C3715A"/>
    <w:rsid w:val="00C37941"/>
    <w:rsid w:val="00C418F5"/>
    <w:rsid w:val="00C42189"/>
    <w:rsid w:val="00C472BE"/>
    <w:rsid w:val="00C502D4"/>
    <w:rsid w:val="00C50AAB"/>
    <w:rsid w:val="00C51240"/>
    <w:rsid w:val="00C52B02"/>
    <w:rsid w:val="00C52D52"/>
    <w:rsid w:val="00C52F0C"/>
    <w:rsid w:val="00C5506A"/>
    <w:rsid w:val="00C551E8"/>
    <w:rsid w:val="00C569D1"/>
    <w:rsid w:val="00C60C93"/>
    <w:rsid w:val="00C627CD"/>
    <w:rsid w:val="00C64832"/>
    <w:rsid w:val="00C64BC0"/>
    <w:rsid w:val="00C655B7"/>
    <w:rsid w:val="00C657F3"/>
    <w:rsid w:val="00C67A08"/>
    <w:rsid w:val="00C67C55"/>
    <w:rsid w:val="00C71A8B"/>
    <w:rsid w:val="00C71B15"/>
    <w:rsid w:val="00C728D1"/>
    <w:rsid w:val="00C761CE"/>
    <w:rsid w:val="00C803D2"/>
    <w:rsid w:val="00C81C02"/>
    <w:rsid w:val="00C8243A"/>
    <w:rsid w:val="00C85097"/>
    <w:rsid w:val="00C85457"/>
    <w:rsid w:val="00C85873"/>
    <w:rsid w:val="00C86F42"/>
    <w:rsid w:val="00C8764D"/>
    <w:rsid w:val="00C902D1"/>
    <w:rsid w:val="00C90344"/>
    <w:rsid w:val="00C90FFA"/>
    <w:rsid w:val="00C918DB"/>
    <w:rsid w:val="00C92F0A"/>
    <w:rsid w:val="00C93266"/>
    <w:rsid w:val="00C9563D"/>
    <w:rsid w:val="00C95E71"/>
    <w:rsid w:val="00C96574"/>
    <w:rsid w:val="00C9681D"/>
    <w:rsid w:val="00C96C48"/>
    <w:rsid w:val="00CA0CA7"/>
    <w:rsid w:val="00CA449E"/>
    <w:rsid w:val="00CA4B8D"/>
    <w:rsid w:val="00CA4C1D"/>
    <w:rsid w:val="00CB198B"/>
    <w:rsid w:val="00CD2990"/>
    <w:rsid w:val="00CD45C7"/>
    <w:rsid w:val="00CD7B10"/>
    <w:rsid w:val="00CE00D1"/>
    <w:rsid w:val="00CE038B"/>
    <w:rsid w:val="00CE1BEA"/>
    <w:rsid w:val="00CE2C7B"/>
    <w:rsid w:val="00CE792C"/>
    <w:rsid w:val="00CE7971"/>
    <w:rsid w:val="00CF0BF8"/>
    <w:rsid w:val="00CF19B9"/>
    <w:rsid w:val="00CF32C0"/>
    <w:rsid w:val="00CF43DC"/>
    <w:rsid w:val="00CF4459"/>
    <w:rsid w:val="00D05801"/>
    <w:rsid w:val="00D06A83"/>
    <w:rsid w:val="00D07CE9"/>
    <w:rsid w:val="00D102E5"/>
    <w:rsid w:val="00D14BFA"/>
    <w:rsid w:val="00D164B7"/>
    <w:rsid w:val="00D20912"/>
    <w:rsid w:val="00D20B90"/>
    <w:rsid w:val="00D21492"/>
    <w:rsid w:val="00D216EA"/>
    <w:rsid w:val="00D21715"/>
    <w:rsid w:val="00D21E80"/>
    <w:rsid w:val="00D22009"/>
    <w:rsid w:val="00D23F33"/>
    <w:rsid w:val="00D24645"/>
    <w:rsid w:val="00D24A8D"/>
    <w:rsid w:val="00D25D65"/>
    <w:rsid w:val="00D25DA5"/>
    <w:rsid w:val="00D25FEA"/>
    <w:rsid w:val="00D30535"/>
    <w:rsid w:val="00D307CA"/>
    <w:rsid w:val="00D30EE4"/>
    <w:rsid w:val="00D335D6"/>
    <w:rsid w:val="00D33E65"/>
    <w:rsid w:val="00D34940"/>
    <w:rsid w:val="00D35B77"/>
    <w:rsid w:val="00D35FDB"/>
    <w:rsid w:val="00D3688A"/>
    <w:rsid w:val="00D42562"/>
    <w:rsid w:val="00D436B9"/>
    <w:rsid w:val="00D43A1C"/>
    <w:rsid w:val="00D451AC"/>
    <w:rsid w:val="00D45C69"/>
    <w:rsid w:val="00D50322"/>
    <w:rsid w:val="00D52FB2"/>
    <w:rsid w:val="00D5354A"/>
    <w:rsid w:val="00D55177"/>
    <w:rsid w:val="00D57E4F"/>
    <w:rsid w:val="00D62BBC"/>
    <w:rsid w:val="00D64CE4"/>
    <w:rsid w:val="00D660A7"/>
    <w:rsid w:val="00D66616"/>
    <w:rsid w:val="00D668BD"/>
    <w:rsid w:val="00D66EF4"/>
    <w:rsid w:val="00D7148E"/>
    <w:rsid w:val="00D7190E"/>
    <w:rsid w:val="00D73ACF"/>
    <w:rsid w:val="00D754BB"/>
    <w:rsid w:val="00D761D8"/>
    <w:rsid w:val="00D76CB3"/>
    <w:rsid w:val="00D76FFF"/>
    <w:rsid w:val="00D81A89"/>
    <w:rsid w:val="00D81B87"/>
    <w:rsid w:val="00D83868"/>
    <w:rsid w:val="00D873A7"/>
    <w:rsid w:val="00D8746B"/>
    <w:rsid w:val="00D87687"/>
    <w:rsid w:val="00D91AA6"/>
    <w:rsid w:val="00D92740"/>
    <w:rsid w:val="00D9542B"/>
    <w:rsid w:val="00D95BC4"/>
    <w:rsid w:val="00D973BC"/>
    <w:rsid w:val="00DA0125"/>
    <w:rsid w:val="00DA16F3"/>
    <w:rsid w:val="00DA52A4"/>
    <w:rsid w:val="00DA66CC"/>
    <w:rsid w:val="00DB0F16"/>
    <w:rsid w:val="00DB1C7D"/>
    <w:rsid w:val="00DB621E"/>
    <w:rsid w:val="00DB6335"/>
    <w:rsid w:val="00DB6481"/>
    <w:rsid w:val="00DB6935"/>
    <w:rsid w:val="00DB7DB7"/>
    <w:rsid w:val="00DB7E0F"/>
    <w:rsid w:val="00DC004F"/>
    <w:rsid w:val="00DC0132"/>
    <w:rsid w:val="00DC0A84"/>
    <w:rsid w:val="00DC3FC6"/>
    <w:rsid w:val="00DC5A6A"/>
    <w:rsid w:val="00DC65CB"/>
    <w:rsid w:val="00DC6852"/>
    <w:rsid w:val="00DC6B69"/>
    <w:rsid w:val="00DD12C2"/>
    <w:rsid w:val="00DD1308"/>
    <w:rsid w:val="00DD3037"/>
    <w:rsid w:val="00DD47DD"/>
    <w:rsid w:val="00DD6CD4"/>
    <w:rsid w:val="00DD6E49"/>
    <w:rsid w:val="00DD77D1"/>
    <w:rsid w:val="00DE12D9"/>
    <w:rsid w:val="00DE2536"/>
    <w:rsid w:val="00DE257F"/>
    <w:rsid w:val="00DE2E5F"/>
    <w:rsid w:val="00DE3F9A"/>
    <w:rsid w:val="00DE49F9"/>
    <w:rsid w:val="00DE56EB"/>
    <w:rsid w:val="00DE6FFD"/>
    <w:rsid w:val="00DF1CA7"/>
    <w:rsid w:val="00DF3DFD"/>
    <w:rsid w:val="00DF58B9"/>
    <w:rsid w:val="00DF670F"/>
    <w:rsid w:val="00E00A4C"/>
    <w:rsid w:val="00E0254B"/>
    <w:rsid w:val="00E03327"/>
    <w:rsid w:val="00E04DD8"/>
    <w:rsid w:val="00E0621C"/>
    <w:rsid w:val="00E062B2"/>
    <w:rsid w:val="00E11F89"/>
    <w:rsid w:val="00E125B3"/>
    <w:rsid w:val="00E12904"/>
    <w:rsid w:val="00E131EC"/>
    <w:rsid w:val="00E1484A"/>
    <w:rsid w:val="00E2135B"/>
    <w:rsid w:val="00E215CB"/>
    <w:rsid w:val="00E21633"/>
    <w:rsid w:val="00E22542"/>
    <w:rsid w:val="00E22775"/>
    <w:rsid w:val="00E24F58"/>
    <w:rsid w:val="00E25DFC"/>
    <w:rsid w:val="00E26735"/>
    <w:rsid w:val="00E317E9"/>
    <w:rsid w:val="00E31BB2"/>
    <w:rsid w:val="00E325AD"/>
    <w:rsid w:val="00E3467B"/>
    <w:rsid w:val="00E3759E"/>
    <w:rsid w:val="00E4153B"/>
    <w:rsid w:val="00E416A2"/>
    <w:rsid w:val="00E420FB"/>
    <w:rsid w:val="00E42355"/>
    <w:rsid w:val="00E43C46"/>
    <w:rsid w:val="00E44C6C"/>
    <w:rsid w:val="00E47B87"/>
    <w:rsid w:val="00E50934"/>
    <w:rsid w:val="00E52275"/>
    <w:rsid w:val="00E53E57"/>
    <w:rsid w:val="00E5499C"/>
    <w:rsid w:val="00E55C4C"/>
    <w:rsid w:val="00E56465"/>
    <w:rsid w:val="00E577CF"/>
    <w:rsid w:val="00E623DF"/>
    <w:rsid w:val="00E630D7"/>
    <w:rsid w:val="00E67382"/>
    <w:rsid w:val="00E71C42"/>
    <w:rsid w:val="00E72163"/>
    <w:rsid w:val="00E73134"/>
    <w:rsid w:val="00E73504"/>
    <w:rsid w:val="00E74EB9"/>
    <w:rsid w:val="00E75092"/>
    <w:rsid w:val="00E77E8B"/>
    <w:rsid w:val="00E829E7"/>
    <w:rsid w:val="00E83305"/>
    <w:rsid w:val="00E83B19"/>
    <w:rsid w:val="00E86539"/>
    <w:rsid w:val="00E87274"/>
    <w:rsid w:val="00E90933"/>
    <w:rsid w:val="00EA090E"/>
    <w:rsid w:val="00EA2627"/>
    <w:rsid w:val="00EA2BB0"/>
    <w:rsid w:val="00EA2F12"/>
    <w:rsid w:val="00EA356A"/>
    <w:rsid w:val="00EA51E9"/>
    <w:rsid w:val="00EA7771"/>
    <w:rsid w:val="00EA7C37"/>
    <w:rsid w:val="00EB1D31"/>
    <w:rsid w:val="00EB28DE"/>
    <w:rsid w:val="00EB45F2"/>
    <w:rsid w:val="00EB4FA3"/>
    <w:rsid w:val="00EB5510"/>
    <w:rsid w:val="00EB6751"/>
    <w:rsid w:val="00EC0194"/>
    <w:rsid w:val="00EC54AE"/>
    <w:rsid w:val="00EC6302"/>
    <w:rsid w:val="00EC7B8D"/>
    <w:rsid w:val="00ED2570"/>
    <w:rsid w:val="00ED4043"/>
    <w:rsid w:val="00ED4411"/>
    <w:rsid w:val="00ED45C5"/>
    <w:rsid w:val="00ED49A6"/>
    <w:rsid w:val="00EE0B02"/>
    <w:rsid w:val="00EE2452"/>
    <w:rsid w:val="00EE2802"/>
    <w:rsid w:val="00EE36FF"/>
    <w:rsid w:val="00EE5D96"/>
    <w:rsid w:val="00EE6945"/>
    <w:rsid w:val="00EE712C"/>
    <w:rsid w:val="00EE744B"/>
    <w:rsid w:val="00EF2A9A"/>
    <w:rsid w:val="00EF4A99"/>
    <w:rsid w:val="00EF63FE"/>
    <w:rsid w:val="00F00DD1"/>
    <w:rsid w:val="00F01579"/>
    <w:rsid w:val="00F01D1B"/>
    <w:rsid w:val="00F0217D"/>
    <w:rsid w:val="00F04D73"/>
    <w:rsid w:val="00F071AE"/>
    <w:rsid w:val="00F079CA"/>
    <w:rsid w:val="00F10144"/>
    <w:rsid w:val="00F1119D"/>
    <w:rsid w:val="00F11774"/>
    <w:rsid w:val="00F12724"/>
    <w:rsid w:val="00F1488B"/>
    <w:rsid w:val="00F15748"/>
    <w:rsid w:val="00F16136"/>
    <w:rsid w:val="00F21DA1"/>
    <w:rsid w:val="00F249AB"/>
    <w:rsid w:val="00F30173"/>
    <w:rsid w:val="00F31423"/>
    <w:rsid w:val="00F31549"/>
    <w:rsid w:val="00F3320B"/>
    <w:rsid w:val="00F350F7"/>
    <w:rsid w:val="00F36C03"/>
    <w:rsid w:val="00F36C5C"/>
    <w:rsid w:val="00F37983"/>
    <w:rsid w:val="00F41ED9"/>
    <w:rsid w:val="00F43818"/>
    <w:rsid w:val="00F43A55"/>
    <w:rsid w:val="00F457A7"/>
    <w:rsid w:val="00F46108"/>
    <w:rsid w:val="00F46570"/>
    <w:rsid w:val="00F47765"/>
    <w:rsid w:val="00F47E62"/>
    <w:rsid w:val="00F51EF0"/>
    <w:rsid w:val="00F523CA"/>
    <w:rsid w:val="00F52A42"/>
    <w:rsid w:val="00F53271"/>
    <w:rsid w:val="00F54007"/>
    <w:rsid w:val="00F54074"/>
    <w:rsid w:val="00F61237"/>
    <w:rsid w:val="00F62938"/>
    <w:rsid w:val="00F6744C"/>
    <w:rsid w:val="00F70D93"/>
    <w:rsid w:val="00F70E3B"/>
    <w:rsid w:val="00F71A44"/>
    <w:rsid w:val="00F72B1F"/>
    <w:rsid w:val="00F731E2"/>
    <w:rsid w:val="00F74728"/>
    <w:rsid w:val="00F773ED"/>
    <w:rsid w:val="00F810EA"/>
    <w:rsid w:val="00F81164"/>
    <w:rsid w:val="00F82FF2"/>
    <w:rsid w:val="00F833CB"/>
    <w:rsid w:val="00F833F4"/>
    <w:rsid w:val="00F91DD3"/>
    <w:rsid w:val="00F93043"/>
    <w:rsid w:val="00F95C47"/>
    <w:rsid w:val="00F9697C"/>
    <w:rsid w:val="00FA10A1"/>
    <w:rsid w:val="00FA2D37"/>
    <w:rsid w:val="00FA4A22"/>
    <w:rsid w:val="00FA4D14"/>
    <w:rsid w:val="00FA5490"/>
    <w:rsid w:val="00FA62BF"/>
    <w:rsid w:val="00FA7DF3"/>
    <w:rsid w:val="00FB12FC"/>
    <w:rsid w:val="00FB13C5"/>
    <w:rsid w:val="00FB40EF"/>
    <w:rsid w:val="00FB5559"/>
    <w:rsid w:val="00FB57A1"/>
    <w:rsid w:val="00FB5C8B"/>
    <w:rsid w:val="00FB6077"/>
    <w:rsid w:val="00FC0D4A"/>
    <w:rsid w:val="00FC10B2"/>
    <w:rsid w:val="00FC1C1E"/>
    <w:rsid w:val="00FC325C"/>
    <w:rsid w:val="00FC49B3"/>
    <w:rsid w:val="00FC55DE"/>
    <w:rsid w:val="00FD140D"/>
    <w:rsid w:val="00FD47E7"/>
    <w:rsid w:val="00FD6354"/>
    <w:rsid w:val="00FD709A"/>
    <w:rsid w:val="00FE007E"/>
    <w:rsid w:val="00FE1266"/>
    <w:rsid w:val="00FE13B8"/>
    <w:rsid w:val="00FE1746"/>
    <w:rsid w:val="00FE20EF"/>
    <w:rsid w:val="00FE29AC"/>
    <w:rsid w:val="00FE2A27"/>
    <w:rsid w:val="00FE46F4"/>
    <w:rsid w:val="00FE73AF"/>
    <w:rsid w:val="00FF1FE3"/>
    <w:rsid w:val="00FF3824"/>
    <w:rsid w:val="00FF4206"/>
    <w:rsid w:val="00FF65DF"/>
    <w:rsid w:val="00FF6F89"/>
    <w:rsid w:val="00FF795B"/>
    <w:rsid w:val="010159F0"/>
    <w:rsid w:val="010233CB"/>
    <w:rsid w:val="01397245"/>
    <w:rsid w:val="0157E9E2"/>
    <w:rsid w:val="01AFFE5A"/>
    <w:rsid w:val="01B7F8BD"/>
    <w:rsid w:val="02238BCB"/>
    <w:rsid w:val="024AF70C"/>
    <w:rsid w:val="027018C0"/>
    <w:rsid w:val="02729FD3"/>
    <w:rsid w:val="02BB75DB"/>
    <w:rsid w:val="02CA7850"/>
    <w:rsid w:val="035327C1"/>
    <w:rsid w:val="03611413"/>
    <w:rsid w:val="036BB780"/>
    <w:rsid w:val="03AD37D6"/>
    <w:rsid w:val="03E28590"/>
    <w:rsid w:val="03F5D0BA"/>
    <w:rsid w:val="04022664"/>
    <w:rsid w:val="042BE4A4"/>
    <w:rsid w:val="04390727"/>
    <w:rsid w:val="043D3485"/>
    <w:rsid w:val="04BDE8C2"/>
    <w:rsid w:val="05A378AC"/>
    <w:rsid w:val="05AE8792"/>
    <w:rsid w:val="05B6FE7C"/>
    <w:rsid w:val="05C114D6"/>
    <w:rsid w:val="05C9584C"/>
    <w:rsid w:val="05DC90B4"/>
    <w:rsid w:val="0685635B"/>
    <w:rsid w:val="06DD856A"/>
    <w:rsid w:val="070C3C9A"/>
    <w:rsid w:val="0744B81A"/>
    <w:rsid w:val="075683FE"/>
    <w:rsid w:val="075E5FC2"/>
    <w:rsid w:val="0790B140"/>
    <w:rsid w:val="08102ABB"/>
    <w:rsid w:val="0835FE6F"/>
    <w:rsid w:val="084BD35E"/>
    <w:rsid w:val="0854E619"/>
    <w:rsid w:val="0867CEA5"/>
    <w:rsid w:val="0895908C"/>
    <w:rsid w:val="08B255EA"/>
    <w:rsid w:val="08D4BD55"/>
    <w:rsid w:val="092B556B"/>
    <w:rsid w:val="09856AF3"/>
    <w:rsid w:val="0988B467"/>
    <w:rsid w:val="09950FF5"/>
    <w:rsid w:val="09AB4080"/>
    <w:rsid w:val="0A2E8D0D"/>
    <w:rsid w:val="0A7DC350"/>
    <w:rsid w:val="0A88CE23"/>
    <w:rsid w:val="0A8A1F7B"/>
    <w:rsid w:val="0ACED7D2"/>
    <w:rsid w:val="0AE6FA3C"/>
    <w:rsid w:val="0B142EB7"/>
    <w:rsid w:val="0B4A3E8D"/>
    <w:rsid w:val="0B5EBDD4"/>
    <w:rsid w:val="0B6FA67B"/>
    <w:rsid w:val="0B89963F"/>
    <w:rsid w:val="0BA29DE9"/>
    <w:rsid w:val="0BB4FEAE"/>
    <w:rsid w:val="0BE4F9BA"/>
    <w:rsid w:val="0BFE93B9"/>
    <w:rsid w:val="0C0C9C04"/>
    <w:rsid w:val="0C4D7AC4"/>
    <w:rsid w:val="0C9F828E"/>
    <w:rsid w:val="0CFB819F"/>
    <w:rsid w:val="0D1B3A65"/>
    <w:rsid w:val="0D866203"/>
    <w:rsid w:val="0D8CDB39"/>
    <w:rsid w:val="0DA0EC8E"/>
    <w:rsid w:val="0DAA9CB9"/>
    <w:rsid w:val="0DBF0FCE"/>
    <w:rsid w:val="0E3FA50B"/>
    <w:rsid w:val="0E8AC43B"/>
    <w:rsid w:val="0E9F9B00"/>
    <w:rsid w:val="0EE2DE78"/>
    <w:rsid w:val="0F168518"/>
    <w:rsid w:val="0F169A69"/>
    <w:rsid w:val="0F2850A9"/>
    <w:rsid w:val="0F3E4BA0"/>
    <w:rsid w:val="0F4C933A"/>
    <w:rsid w:val="0F7A4DC9"/>
    <w:rsid w:val="0F88A566"/>
    <w:rsid w:val="0FDC3C78"/>
    <w:rsid w:val="0FDE5681"/>
    <w:rsid w:val="0FE7EFCC"/>
    <w:rsid w:val="103EBEE2"/>
    <w:rsid w:val="104617EC"/>
    <w:rsid w:val="109B37C4"/>
    <w:rsid w:val="118631D5"/>
    <w:rsid w:val="118D9D2C"/>
    <w:rsid w:val="11DC9451"/>
    <w:rsid w:val="11DDFE4C"/>
    <w:rsid w:val="11FECD8E"/>
    <w:rsid w:val="129D3B96"/>
    <w:rsid w:val="12DD7B66"/>
    <w:rsid w:val="12E86A02"/>
    <w:rsid w:val="1316C6B9"/>
    <w:rsid w:val="1316F043"/>
    <w:rsid w:val="1351BE57"/>
    <w:rsid w:val="1386D092"/>
    <w:rsid w:val="13F6B0D9"/>
    <w:rsid w:val="14050FC7"/>
    <w:rsid w:val="1435825C"/>
    <w:rsid w:val="14594BFE"/>
    <w:rsid w:val="1460F48C"/>
    <w:rsid w:val="14725FCD"/>
    <w:rsid w:val="147451DC"/>
    <w:rsid w:val="14A2F21F"/>
    <w:rsid w:val="14B399E9"/>
    <w:rsid w:val="14B4DA3D"/>
    <w:rsid w:val="14D1345D"/>
    <w:rsid w:val="15345798"/>
    <w:rsid w:val="15D79496"/>
    <w:rsid w:val="161BF3FC"/>
    <w:rsid w:val="162942C4"/>
    <w:rsid w:val="167C3BE0"/>
    <w:rsid w:val="168846BB"/>
    <w:rsid w:val="16DF68FC"/>
    <w:rsid w:val="16F77D79"/>
    <w:rsid w:val="17520F41"/>
    <w:rsid w:val="1764956B"/>
    <w:rsid w:val="1785E141"/>
    <w:rsid w:val="1798CEF1"/>
    <w:rsid w:val="17AC214D"/>
    <w:rsid w:val="17D5CB65"/>
    <w:rsid w:val="17DED6C3"/>
    <w:rsid w:val="17EA6112"/>
    <w:rsid w:val="181BF2C9"/>
    <w:rsid w:val="183C5A97"/>
    <w:rsid w:val="186F214D"/>
    <w:rsid w:val="18EF81AC"/>
    <w:rsid w:val="1905D870"/>
    <w:rsid w:val="1909ACF7"/>
    <w:rsid w:val="190B71E3"/>
    <w:rsid w:val="191622FE"/>
    <w:rsid w:val="192DFEB7"/>
    <w:rsid w:val="19319013"/>
    <w:rsid w:val="19856A8D"/>
    <w:rsid w:val="199262FA"/>
    <w:rsid w:val="19C6AA14"/>
    <w:rsid w:val="19E6FD0C"/>
    <w:rsid w:val="19EC6A30"/>
    <w:rsid w:val="1A4ECE69"/>
    <w:rsid w:val="1A4F132F"/>
    <w:rsid w:val="1A77FEBA"/>
    <w:rsid w:val="1A8B760C"/>
    <w:rsid w:val="1A984714"/>
    <w:rsid w:val="1AAB7F53"/>
    <w:rsid w:val="1B06F58D"/>
    <w:rsid w:val="1B595627"/>
    <w:rsid w:val="1B7F00C5"/>
    <w:rsid w:val="1BB43C03"/>
    <w:rsid w:val="1BB73CD6"/>
    <w:rsid w:val="1BB9C265"/>
    <w:rsid w:val="1C1A8262"/>
    <w:rsid w:val="1C5509C2"/>
    <w:rsid w:val="1C620755"/>
    <w:rsid w:val="1C6C4C85"/>
    <w:rsid w:val="1C8E8F8D"/>
    <w:rsid w:val="1D0639AF"/>
    <w:rsid w:val="1D2BEF5D"/>
    <w:rsid w:val="1DA56560"/>
    <w:rsid w:val="1DC895BE"/>
    <w:rsid w:val="1DD37D23"/>
    <w:rsid w:val="1DFBD942"/>
    <w:rsid w:val="1E3C6021"/>
    <w:rsid w:val="1E895ECF"/>
    <w:rsid w:val="1F1ABA8D"/>
    <w:rsid w:val="1F671C32"/>
    <w:rsid w:val="1F73849E"/>
    <w:rsid w:val="1F7CA436"/>
    <w:rsid w:val="1FD550DD"/>
    <w:rsid w:val="2081DDD7"/>
    <w:rsid w:val="2088E441"/>
    <w:rsid w:val="20C0902E"/>
    <w:rsid w:val="20E2F153"/>
    <w:rsid w:val="2155C0DD"/>
    <w:rsid w:val="2173BFD0"/>
    <w:rsid w:val="21A143D1"/>
    <w:rsid w:val="21C31716"/>
    <w:rsid w:val="21C709AD"/>
    <w:rsid w:val="21EE4570"/>
    <w:rsid w:val="220BEA98"/>
    <w:rsid w:val="222574EE"/>
    <w:rsid w:val="22605D88"/>
    <w:rsid w:val="226897C3"/>
    <w:rsid w:val="22758FCB"/>
    <w:rsid w:val="2276075D"/>
    <w:rsid w:val="227FA8CF"/>
    <w:rsid w:val="229CF4CE"/>
    <w:rsid w:val="22AF6B8B"/>
    <w:rsid w:val="22F1D509"/>
    <w:rsid w:val="2307B90C"/>
    <w:rsid w:val="232C5E52"/>
    <w:rsid w:val="23377FEA"/>
    <w:rsid w:val="23B8884C"/>
    <w:rsid w:val="24141B80"/>
    <w:rsid w:val="24341085"/>
    <w:rsid w:val="24AA4EBE"/>
    <w:rsid w:val="24BBDF71"/>
    <w:rsid w:val="24E8D837"/>
    <w:rsid w:val="253CDA5F"/>
    <w:rsid w:val="2559CA55"/>
    <w:rsid w:val="258BF16A"/>
    <w:rsid w:val="25B0CB73"/>
    <w:rsid w:val="25D442F8"/>
    <w:rsid w:val="25F4E7A5"/>
    <w:rsid w:val="25FA6DBA"/>
    <w:rsid w:val="2616FC44"/>
    <w:rsid w:val="26803D0C"/>
    <w:rsid w:val="26BD9AA3"/>
    <w:rsid w:val="26F2B7D5"/>
    <w:rsid w:val="270F623B"/>
    <w:rsid w:val="274B88A5"/>
    <w:rsid w:val="277CE1E6"/>
    <w:rsid w:val="27A028DE"/>
    <w:rsid w:val="27DBBDB4"/>
    <w:rsid w:val="27E8C7C2"/>
    <w:rsid w:val="28011007"/>
    <w:rsid w:val="2841B5E4"/>
    <w:rsid w:val="2886DCAB"/>
    <w:rsid w:val="28E84160"/>
    <w:rsid w:val="28F2DC06"/>
    <w:rsid w:val="2913609D"/>
    <w:rsid w:val="2934A6A5"/>
    <w:rsid w:val="2938B8BF"/>
    <w:rsid w:val="2942889B"/>
    <w:rsid w:val="29A0CD4A"/>
    <w:rsid w:val="29D62623"/>
    <w:rsid w:val="29F891B1"/>
    <w:rsid w:val="2A029634"/>
    <w:rsid w:val="2A040800"/>
    <w:rsid w:val="2A053AEB"/>
    <w:rsid w:val="2A651E2D"/>
    <w:rsid w:val="2AFD3489"/>
    <w:rsid w:val="2B58D953"/>
    <w:rsid w:val="2BA8D85E"/>
    <w:rsid w:val="2BD7C266"/>
    <w:rsid w:val="2BEF2BEF"/>
    <w:rsid w:val="2C8BC321"/>
    <w:rsid w:val="2C9F6394"/>
    <w:rsid w:val="2CBC3BA6"/>
    <w:rsid w:val="2D47F7E2"/>
    <w:rsid w:val="2D5ED2B5"/>
    <w:rsid w:val="2D86AE7C"/>
    <w:rsid w:val="2D8ED2FB"/>
    <w:rsid w:val="2D8FFDDD"/>
    <w:rsid w:val="2DA9D29F"/>
    <w:rsid w:val="2DBA94BF"/>
    <w:rsid w:val="2E481BAB"/>
    <w:rsid w:val="2EA0A86D"/>
    <w:rsid w:val="2F0866C8"/>
    <w:rsid w:val="2F14D286"/>
    <w:rsid w:val="2F18247E"/>
    <w:rsid w:val="2F18D16F"/>
    <w:rsid w:val="2F3BFEA8"/>
    <w:rsid w:val="2F405DFC"/>
    <w:rsid w:val="2FC48262"/>
    <w:rsid w:val="300E460B"/>
    <w:rsid w:val="302B847C"/>
    <w:rsid w:val="303C78CE"/>
    <w:rsid w:val="307292AD"/>
    <w:rsid w:val="307FEE53"/>
    <w:rsid w:val="308FFBC1"/>
    <w:rsid w:val="30C751DF"/>
    <w:rsid w:val="31368845"/>
    <w:rsid w:val="3148D84A"/>
    <w:rsid w:val="318674F2"/>
    <w:rsid w:val="31999352"/>
    <w:rsid w:val="31A437EE"/>
    <w:rsid w:val="31E92660"/>
    <w:rsid w:val="32336A4A"/>
    <w:rsid w:val="3235CD67"/>
    <w:rsid w:val="325C0D35"/>
    <w:rsid w:val="32AF89C6"/>
    <w:rsid w:val="3345C0E9"/>
    <w:rsid w:val="33B5400E"/>
    <w:rsid w:val="3418E00A"/>
    <w:rsid w:val="3419391C"/>
    <w:rsid w:val="342D20BC"/>
    <w:rsid w:val="343158FB"/>
    <w:rsid w:val="343770D9"/>
    <w:rsid w:val="34434DE5"/>
    <w:rsid w:val="34593EF1"/>
    <w:rsid w:val="355D0D32"/>
    <w:rsid w:val="357CEAD4"/>
    <w:rsid w:val="357D16F7"/>
    <w:rsid w:val="3590CB4C"/>
    <w:rsid w:val="35B1975B"/>
    <w:rsid w:val="35B56508"/>
    <w:rsid w:val="362A6970"/>
    <w:rsid w:val="3632C7D5"/>
    <w:rsid w:val="366161B5"/>
    <w:rsid w:val="36E07164"/>
    <w:rsid w:val="372701B2"/>
    <w:rsid w:val="37436DC2"/>
    <w:rsid w:val="375EB199"/>
    <w:rsid w:val="3768BBEA"/>
    <w:rsid w:val="37A2A1B9"/>
    <w:rsid w:val="37AE9E03"/>
    <w:rsid w:val="37EE2953"/>
    <w:rsid w:val="37F16789"/>
    <w:rsid w:val="38012DB5"/>
    <w:rsid w:val="38130332"/>
    <w:rsid w:val="38206184"/>
    <w:rsid w:val="3859DBD1"/>
    <w:rsid w:val="3865670E"/>
    <w:rsid w:val="38840603"/>
    <w:rsid w:val="389525BF"/>
    <w:rsid w:val="38CAF347"/>
    <w:rsid w:val="3901A534"/>
    <w:rsid w:val="390E3673"/>
    <w:rsid w:val="39D23885"/>
    <w:rsid w:val="3A31DFFA"/>
    <w:rsid w:val="3A6D25B8"/>
    <w:rsid w:val="3AB4827E"/>
    <w:rsid w:val="3AB50282"/>
    <w:rsid w:val="3ACC247D"/>
    <w:rsid w:val="3AF1BFDD"/>
    <w:rsid w:val="3B12B958"/>
    <w:rsid w:val="3B66E79B"/>
    <w:rsid w:val="3B695A76"/>
    <w:rsid w:val="3B7EA5AF"/>
    <w:rsid w:val="3B8DCF4C"/>
    <w:rsid w:val="3B9E9D9C"/>
    <w:rsid w:val="3BBB2971"/>
    <w:rsid w:val="3BE62226"/>
    <w:rsid w:val="3BF37B0C"/>
    <w:rsid w:val="3C079689"/>
    <w:rsid w:val="3C296693"/>
    <w:rsid w:val="3C71F690"/>
    <w:rsid w:val="3C9BA361"/>
    <w:rsid w:val="3C9ED944"/>
    <w:rsid w:val="3CA95BC2"/>
    <w:rsid w:val="3CC80FC9"/>
    <w:rsid w:val="3CDFA310"/>
    <w:rsid w:val="3D302BE5"/>
    <w:rsid w:val="3D3AA8C5"/>
    <w:rsid w:val="3D723495"/>
    <w:rsid w:val="3D88A414"/>
    <w:rsid w:val="3DADA52B"/>
    <w:rsid w:val="3DBBA5DD"/>
    <w:rsid w:val="3DBDDCDC"/>
    <w:rsid w:val="3DCA308B"/>
    <w:rsid w:val="3DD55530"/>
    <w:rsid w:val="3DF3F28B"/>
    <w:rsid w:val="3E29C19C"/>
    <w:rsid w:val="3E44C6C4"/>
    <w:rsid w:val="3E4D08D4"/>
    <w:rsid w:val="3E7A26FF"/>
    <w:rsid w:val="3E7F26A4"/>
    <w:rsid w:val="3EB6BF6B"/>
    <w:rsid w:val="3EC608DB"/>
    <w:rsid w:val="3F0FDF56"/>
    <w:rsid w:val="3F7B84A2"/>
    <w:rsid w:val="3FECB5FD"/>
    <w:rsid w:val="4022636D"/>
    <w:rsid w:val="4038B328"/>
    <w:rsid w:val="403B35D2"/>
    <w:rsid w:val="4044D593"/>
    <w:rsid w:val="4066B0CF"/>
    <w:rsid w:val="40A8885F"/>
    <w:rsid w:val="40C6C293"/>
    <w:rsid w:val="40CE3C4B"/>
    <w:rsid w:val="40EEFD22"/>
    <w:rsid w:val="4143AD2C"/>
    <w:rsid w:val="414421E8"/>
    <w:rsid w:val="41542D61"/>
    <w:rsid w:val="417E98E6"/>
    <w:rsid w:val="41867AD6"/>
    <w:rsid w:val="41895CA4"/>
    <w:rsid w:val="419B9BAD"/>
    <w:rsid w:val="41D40155"/>
    <w:rsid w:val="41FEB88A"/>
    <w:rsid w:val="4218ED62"/>
    <w:rsid w:val="426344A7"/>
    <w:rsid w:val="42744095"/>
    <w:rsid w:val="4281D50C"/>
    <w:rsid w:val="429561F9"/>
    <w:rsid w:val="4296BED4"/>
    <w:rsid w:val="42984FF4"/>
    <w:rsid w:val="42A4B7B9"/>
    <w:rsid w:val="42A4C8D5"/>
    <w:rsid w:val="42AF917F"/>
    <w:rsid w:val="430AE520"/>
    <w:rsid w:val="43233CA8"/>
    <w:rsid w:val="43674587"/>
    <w:rsid w:val="4369C0B0"/>
    <w:rsid w:val="439DA0C9"/>
    <w:rsid w:val="4400FDFF"/>
    <w:rsid w:val="44031EE3"/>
    <w:rsid w:val="44059693"/>
    <w:rsid w:val="440652AA"/>
    <w:rsid w:val="441CA6E8"/>
    <w:rsid w:val="44BF0406"/>
    <w:rsid w:val="44BF73A4"/>
    <w:rsid w:val="44C1D701"/>
    <w:rsid w:val="44CD934A"/>
    <w:rsid w:val="44DD8E75"/>
    <w:rsid w:val="44DF7BAB"/>
    <w:rsid w:val="44F1B86C"/>
    <w:rsid w:val="44F3D46A"/>
    <w:rsid w:val="44F67E68"/>
    <w:rsid w:val="44FD8DBF"/>
    <w:rsid w:val="45A7DDE3"/>
    <w:rsid w:val="45D3C5E8"/>
    <w:rsid w:val="463CB2EF"/>
    <w:rsid w:val="466644C5"/>
    <w:rsid w:val="466D165F"/>
    <w:rsid w:val="46912FF9"/>
    <w:rsid w:val="46ECECBF"/>
    <w:rsid w:val="46ED1E95"/>
    <w:rsid w:val="472334A6"/>
    <w:rsid w:val="47547361"/>
    <w:rsid w:val="4795C7B1"/>
    <w:rsid w:val="47ECE7CA"/>
    <w:rsid w:val="47FBA9D1"/>
    <w:rsid w:val="47FEE06E"/>
    <w:rsid w:val="4806E29E"/>
    <w:rsid w:val="481C1B1B"/>
    <w:rsid w:val="481D198D"/>
    <w:rsid w:val="482ED924"/>
    <w:rsid w:val="484B77CA"/>
    <w:rsid w:val="48CB994A"/>
    <w:rsid w:val="48CC4D0C"/>
    <w:rsid w:val="48D4634C"/>
    <w:rsid w:val="48DEBC46"/>
    <w:rsid w:val="4904C472"/>
    <w:rsid w:val="4918EFE2"/>
    <w:rsid w:val="493D5CDE"/>
    <w:rsid w:val="493F2CB0"/>
    <w:rsid w:val="49B0FA29"/>
    <w:rsid w:val="4A1BB171"/>
    <w:rsid w:val="4A7F399A"/>
    <w:rsid w:val="4ABE1725"/>
    <w:rsid w:val="4AD38916"/>
    <w:rsid w:val="4AE4A829"/>
    <w:rsid w:val="4B207A25"/>
    <w:rsid w:val="4B24063D"/>
    <w:rsid w:val="4B312437"/>
    <w:rsid w:val="4B4026A1"/>
    <w:rsid w:val="4B406509"/>
    <w:rsid w:val="4B7721FE"/>
    <w:rsid w:val="4B7D0B7B"/>
    <w:rsid w:val="4B8189C2"/>
    <w:rsid w:val="4B9C1EA8"/>
    <w:rsid w:val="4B9DC6D2"/>
    <w:rsid w:val="4BCEA198"/>
    <w:rsid w:val="4C0C7270"/>
    <w:rsid w:val="4CAADCA2"/>
    <w:rsid w:val="4D0BC431"/>
    <w:rsid w:val="4D35EBBB"/>
    <w:rsid w:val="4D435393"/>
    <w:rsid w:val="4D62BFDC"/>
    <w:rsid w:val="4D7E15E8"/>
    <w:rsid w:val="4D862B4F"/>
    <w:rsid w:val="4DA1DB0C"/>
    <w:rsid w:val="4DA2B0B9"/>
    <w:rsid w:val="4DAFC245"/>
    <w:rsid w:val="4DC265C2"/>
    <w:rsid w:val="4DC78C2B"/>
    <w:rsid w:val="4DD69F5A"/>
    <w:rsid w:val="4DDB35C5"/>
    <w:rsid w:val="4DE11A62"/>
    <w:rsid w:val="4DF4D9A4"/>
    <w:rsid w:val="4E09C51F"/>
    <w:rsid w:val="4E6CEE46"/>
    <w:rsid w:val="4EA3F58F"/>
    <w:rsid w:val="4F18358F"/>
    <w:rsid w:val="4F5749E0"/>
    <w:rsid w:val="4F5BF3CD"/>
    <w:rsid w:val="4F9C99E6"/>
    <w:rsid w:val="4FE4FD91"/>
    <w:rsid w:val="50103CD5"/>
    <w:rsid w:val="5016D627"/>
    <w:rsid w:val="507A9BB5"/>
    <w:rsid w:val="5118BD58"/>
    <w:rsid w:val="5128A972"/>
    <w:rsid w:val="5150D9C7"/>
    <w:rsid w:val="519764EF"/>
    <w:rsid w:val="5198EDD5"/>
    <w:rsid w:val="51EA54E3"/>
    <w:rsid w:val="526344F7"/>
    <w:rsid w:val="52F7B7C5"/>
    <w:rsid w:val="530EAF1B"/>
    <w:rsid w:val="53301ED1"/>
    <w:rsid w:val="5339A68A"/>
    <w:rsid w:val="5345AE89"/>
    <w:rsid w:val="536FB8AF"/>
    <w:rsid w:val="53B8D4CA"/>
    <w:rsid w:val="53C4A964"/>
    <w:rsid w:val="53E2B559"/>
    <w:rsid w:val="540ADF4A"/>
    <w:rsid w:val="542E8D9E"/>
    <w:rsid w:val="54625775"/>
    <w:rsid w:val="5498997A"/>
    <w:rsid w:val="54A16B76"/>
    <w:rsid w:val="54A63115"/>
    <w:rsid w:val="54E20BB6"/>
    <w:rsid w:val="56363E42"/>
    <w:rsid w:val="563AEA52"/>
    <w:rsid w:val="56CD8A91"/>
    <w:rsid w:val="56EBE33A"/>
    <w:rsid w:val="56F293C9"/>
    <w:rsid w:val="56FBDDCC"/>
    <w:rsid w:val="576EACA8"/>
    <w:rsid w:val="5772D572"/>
    <w:rsid w:val="577D9BF3"/>
    <w:rsid w:val="5785D47E"/>
    <w:rsid w:val="57EB3F37"/>
    <w:rsid w:val="57F48D86"/>
    <w:rsid w:val="57FBC98F"/>
    <w:rsid w:val="5801D4F1"/>
    <w:rsid w:val="581BC4FA"/>
    <w:rsid w:val="58986F60"/>
    <w:rsid w:val="58C09085"/>
    <w:rsid w:val="58F25BE6"/>
    <w:rsid w:val="591E99A6"/>
    <w:rsid w:val="594933F6"/>
    <w:rsid w:val="59AB7F49"/>
    <w:rsid w:val="59BC21BD"/>
    <w:rsid w:val="59CB4C0A"/>
    <w:rsid w:val="59D1F082"/>
    <w:rsid w:val="59D4FA41"/>
    <w:rsid w:val="59FC5816"/>
    <w:rsid w:val="5A47CA33"/>
    <w:rsid w:val="5B2CF081"/>
    <w:rsid w:val="5B31940F"/>
    <w:rsid w:val="5B395BA1"/>
    <w:rsid w:val="5B3F4B90"/>
    <w:rsid w:val="5B7EC6EC"/>
    <w:rsid w:val="5BB31624"/>
    <w:rsid w:val="5BCF380E"/>
    <w:rsid w:val="5C226421"/>
    <w:rsid w:val="5C63E4D8"/>
    <w:rsid w:val="5CAA123A"/>
    <w:rsid w:val="5CB9C6FD"/>
    <w:rsid w:val="5CC7D06A"/>
    <w:rsid w:val="5CC986C6"/>
    <w:rsid w:val="5CDA57B1"/>
    <w:rsid w:val="5CF762FC"/>
    <w:rsid w:val="5CF80F06"/>
    <w:rsid w:val="5CFCF79D"/>
    <w:rsid w:val="5D3B6D9C"/>
    <w:rsid w:val="5D4A743A"/>
    <w:rsid w:val="5D715093"/>
    <w:rsid w:val="5DBC3E5F"/>
    <w:rsid w:val="5DC4B837"/>
    <w:rsid w:val="5DFAAD74"/>
    <w:rsid w:val="5E1FE1D7"/>
    <w:rsid w:val="5E226059"/>
    <w:rsid w:val="5E2998E4"/>
    <w:rsid w:val="5E4C3CE5"/>
    <w:rsid w:val="5E5EC60C"/>
    <w:rsid w:val="5E6CC30D"/>
    <w:rsid w:val="5EDF6F11"/>
    <w:rsid w:val="5EE49E2D"/>
    <w:rsid w:val="5F1E9977"/>
    <w:rsid w:val="5F2987CA"/>
    <w:rsid w:val="5F6749C0"/>
    <w:rsid w:val="5F6E742D"/>
    <w:rsid w:val="600FFC45"/>
    <w:rsid w:val="606A8BAB"/>
    <w:rsid w:val="60A34DFC"/>
    <w:rsid w:val="60BCCBD5"/>
    <w:rsid w:val="60CA2F4E"/>
    <w:rsid w:val="60D64685"/>
    <w:rsid w:val="6187CDAC"/>
    <w:rsid w:val="61C63966"/>
    <w:rsid w:val="622111E1"/>
    <w:rsid w:val="623C3FD4"/>
    <w:rsid w:val="623E6F3D"/>
    <w:rsid w:val="627716D0"/>
    <w:rsid w:val="627DD802"/>
    <w:rsid w:val="6297C51F"/>
    <w:rsid w:val="62F2340A"/>
    <w:rsid w:val="62FD6AE8"/>
    <w:rsid w:val="632776F4"/>
    <w:rsid w:val="6351EA0D"/>
    <w:rsid w:val="639BDDA9"/>
    <w:rsid w:val="639F85C8"/>
    <w:rsid w:val="63C83D7B"/>
    <w:rsid w:val="645D61AD"/>
    <w:rsid w:val="64820FB7"/>
    <w:rsid w:val="64F4D776"/>
    <w:rsid w:val="64FD09DC"/>
    <w:rsid w:val="6502E1E5"/>
    <w:rsid w:val="655C5C5C"/>
    <w:rsid w:val="65AC1A2E"/>
    <w:rsid w:val="65B679E2"/>
    <w:rsid w:val="65C0C40A"/>
    <w:rsid w:val="65F9320E"/>
    <w:rsid w:val="6626C870"/>
    <w:rsid w:val="668399EF"/>
    <w:rsid w:val="6700A100"/>
    <w:rsid w:val="674C28F7"/>
    <w:rsid w:val="6759EA6D"/>
    <w:rsid w:val="67AD5EBC"/>
    <w:rsid w:val="67D7395F"/>
    <w:rsid w:val="67F2FA08"/>
    <w:rsid w:val="681F40BE"/>
    <w:rsid w:val="6844057A"/>
    <w:rsid w:val="68D5A205"/>
    <w:rsid w:val="68EF9CE5"/>
    <w:rsid w:val="69499EDB"/>
    <w:rsid w:val="69B85929"/>
    <w:rsid w:val="69E7C709"/>
    <w:rsid w:val="69EE20C9"/>
    <w:rsid w:val="6A09DD4B"/>
    <w:rsid w:val="6A3FD910"/>
    <w:rsid w:val="6A7F6B4D"/>
    <w:rsid w:val="6ABB4DCA"/>
    <w:rsid w:val="6ADBF7BF"/>
    <w:rsid w:val="6AE53225"/>
    <w:rsid w:val="6B28129E"/>
    <w:rsid w:val="6B7A0CDA"/>
    <w:rsid w:val="6B8B5047"/>
    <w:rsid w:val="6B8E024B"/>
    <w:rsid w:val="6BC88433"/>
    <w:rsid w:val="6C043F2B"/>
    <w:rsid w:val="6C79C4D7"/>
    <w:rsid w:val="6CAEE658"/>
    <w:rsid w:val="6CB134A1"/>
    <w:rsid w:val="6D7C4E53"/>
    <w:rsid w:val="6D7FAB36"/>
    <w:rsid w:val="6DC7BF55"/>
    <w:rsid w:val="6E073932"/>
    <w:rsid w:val="6E21A2F5"/>
    <w:rsid w:val="6E3AD343"/>
    <w:rsid w:val="6ECACB9F"/>
    <w:rsid w:val="6ED2EB53"/>
    <w:rsid w:val="6F3CC25D"/>
    <w:rsid w:val="6F66981E"/>
    <w:rsid w:val="6F66A229"/>
    <w:rsid w:val="6F7E5268"/>
    <w:rsid w:val="6FA63BF8"/>
    <w:rsid w:val="6FCDFA41"/>
    <w:rsid w:val="70016BE1"/>
    <w:rsid w:val="7004026E"/>
    <w:rsid w:val="700E3652"/>
    <w:rsid w:val="7049A88D"/>
    <w:rsid w:val="707B04C3"/>
    <w:rsid w:val="70CB6318"/>
    <w:rsid w:val="70E17D41"/>
    <w:rsid w:val="70EC074D"/>
    <w:rsid w:val="70F88730"/>
    <w:rsid w:val="71622A86"/>
    <w:rsid w:val="717DF1DF"/>
    <w:rsid w:val="71C2FE9D"/>
    <w:rsid w:val="71C845E6"/>
    <w:rsid w:val="71F13304"/>
    <w:rsid w:val="720FED0B"/>
    <w:rsid w:val="726A0336"/>
    <w:rsid w:val="731FC0E0"/>
    <w:rsid w:val="73CC5649"/>
    <w:rsid w:val="746362D6"/>
    <w:rsid w:val="74659E6B"/>
    <w:rsid w:val="747E8915"/>
    <w:rsid w:val="748857D4"/>
    <w:rsid w:val="74CA61A4"/>
    <w:rsid w:val="74F3A8A2"/>
    <w:rsid w:val="7500E2E0"/>
    <w:rsid w:val="7502DE35"/>
    <w:rsid w:val="755F0E6A"/>
    <w:rsid w:val="75A52A36"/>
    <w:rsid w:val="75ADEEF7"/>
    <w:rsid w:val="75B41140"/>
    <w:rsid w:val="763787D5"/>
    <w:rsid w:val="7659D8E7"/>
    <w:rsid w:val="765A2DE6"/>
    <w:rsid w:val="76A8344D"/>
    <w:rsid w:val="7728509D"/>
    <w:rsid w:val="77361EAA"/>
    <w:rsid w:val="774DDD63"/>
    <w:rsid w:val="775BB174"/>
    <w:rsid w:val="777CCC51"/>
    <w:rsid w:val="779005B7"/>
    <w:rsid w:val="78305DB2"/>
    <w:rsid w:val="783F8687"/>
    <w:rsid w:val="784D9DE7"/>
    <w:rsid w:val="7896D078"/>
    <w:rsid w:val="789A81D6"/>
    <w:rsid w:val="789C3C9A"/>
    <w:rsid w:val="78C4A01C"/>
    <w:rsid w:val="791D765C"/>
    <w:rsid w:val="79ACC532"/>
    <w:rsid w:val="79D89BDF"/>
    <w:rsid w:val="79DA0D2C"/>
    <w:rsid w:val="79EB2A03"/>
    <w:rsid w:val="7AA46A10"/>
    <w:rsid w:val="7AEB94DC"/>
    <w:rsid w:val="7AF7234E"/>
    <w:rsid w:val="7B2F60B2"/>
    <w:rsid w:val="7B53744F"/>
    <w:rsid w:val="7B8DF761"/>
    <w:rsid w:val="7BC5C520"/>
    <w:rsid w:val="7C21ACD0"/>
    <w:rsid w:val="7C74DFA6"/>
    <w:rsid w:val="7C7B4976"/>
    <w:rsid w:val="7C9D3925"/>
    <w:rsid w:val="7D7528A7"/>
    <w:rsid w:val="7D899FE1"/>
    <w:rsid w:val="7D910702"/>
    <w:rsid w:val="7DA1DCEF"/>
    <w:rsid w:val="7DC2D6AB"/>
    <w:rsid w:val="7E4304CC"/>
    <w:rsid w:val="7EB72869"/>
    <w:rsid w:val="7ECA51D6"/>
    <w:rsid w:val="7F0C3CAE"/>
    <w:rsid w:val="7F162B08"/>
    <w:rsid w:val="7F25C1FE"/>
    <w:rsid w:val="7F67255F"/>
    <w:rsid w:val="7F7FF603"/>
    <w:rsid w:val="7F81EF3F"/>
    <w:rsid w:val="7F9635C3"/>
    <w:rsid w:val="7FA891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702E"/>
  <w15:chartTrackingRefBased/>
  <w15:docId w15:val="{75700434-5627-4A75-B750-5BC6E15D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20B"/>
    <w:pPr>
      <w:spacing w:before="120" w:after="0" w:line="240" w:lineRule="auto"/>
      <w:jc w:val="both"/>
    </w:pPr>
    <w:rPr>
      <w:rFonts w:ascii="Franklin Gothic Book" w:hAnsi="Franklin Gothic Book"/>
      <w:sz w:val="24"/>
    </w:rPr>
  </w:style>
  <w:style w:type="paragraph" w:styleId="Heading1">
    <w:name w:val="heading 1"/>
    <w:basedOn w:val="Normal"/>
    <w:next w:val="Normal"/>
    <w:link w:val="Heading1Char"/>
    <w:qFormat/>
    <w:rsid w:val="00357464"/>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57464"/>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357464"/>
    <w:pPr>
      <w:keepNext/>
      <w:keepLines/>
      <w:outlineLvl w:val="2"/>
    </w:pPr>
    <w:rPr>
      <w:rFonts w:asciiTheme="majorHAnsi" w:eastAsiaTheme="majorEastAsia" w:hAnsiTheme="majorHAnsi" w:cstheme="majorBidi"/>
      <w:bCs/>
      <w:i/>
    </w:rPr>
  </w:style>
  <w:style w:type="paragraph" w:styleId="Heading6">
    <w:name w:val="heading 6"/>
    <w:basedOn w:val="Normal"/>
    <w:next w:val="Normal"/>
    <w:link w:val="Heading6Char"/>
    <w:uiPriority w:val="9"/>
    <w:semiHidden/>
    <w:unhideWhenUsed/>
    <w:qFormat/>
    <w:rsid w:val="00DC6B69"/>
    <w:pPr>
      <w:keepNext/>
      <w:keepLines/>
      <w:spacing w:before="40"/>
      <w:outlineLvl w:val="5"/>
    </w:pPr>
    <w:rPr>
      <w:rFonts w:asciiTheme="majorHAnsi" w:eastAsiaTheme="majorEastAsia" w:hAnsiTheme="majorHAnsi" w:cstheme="majorBidi"/>
      <w:color w:val="2F9B6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46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5746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357464"/>
    <w:rPr>
      <w:rFonts w:asciiTheme="majorHAnsi" w:eastAsiaTheme="majorEastAsia" w:hAnsiTheme="majorHAnsi" w:cstheme="majorBidi"/>
      <w:bCs/>
      <w:i/>
      <w:sz w:val="24"/>
    </w:rPr>
  </w:style>
  <w:style w:type="paragraph" w:styleId="Title">
    <w:name w:val="Title"/>
    <w:basedOn w:val="Normal"/>
    <w:next w:val="Normal"/>
    <w:link w:val="TitleChar"/>
    <w:uiPriority w:val="10"/>
    <w:qFormat/>
    <w:rsid w:val="00357464"/>
    <w:pPr>
      <w:pBdr>
        <w:bottom w:val="single" w:sz="8" w:space="4" w:color="B1E7CC" w:themeColor="accent1"/>
      </w:pBdr>
      <w:spacing w:after="12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357464"/>
    <w:rPr>
      <w:rFonts w:asciiTheme="majorHAnsi" w:eastAsiaTheme="majorEastAsia" w:hAnsiTheme="majorHAnsi" w:cstheme="majorBidi"/>
      <w:b/>
      <w:spacing w:val="5"/>
      <w:kern w:val="28"/>
      <w:sz w:val="36"/>
      <w:szCs w:val="52"/>
    </w:rPr>
  </w:style>
  <w:style w:type="paragraph" w:styleId="ListParagraph">
    <w:name w:val="List Paragraph"/>
    <w:aliases w:val="Numbered list"/>
    <w:basedOn w:val="Normal"/>
    <w:link w:val="ListParagraphChar"/>
    <w:uiPriority w:val="34"/>
    <w:qFormat/>
    <w:rsid w:val="00357464"/>
    <w:pPr>
      <w:numPr>
        <w:numId w:val="31"/>
      </w:numPr>
    </w:pPr>
  </w:style>
  <w:style w:type="paragraph" w:styleId="Header">
    <w:name w:val="header"/>
    <w:basedOn w:val="Normal"/>
    <w:link w:val="HeaderChar"/>
    <w:uiPriority w:val="99"/>
    <w:unhideWhenUsed/>
    <w:rsid w:val="00357464"/>
    <w:pPr>
      <w:tabs>
        <w:tab w:val="center" w:pos="4513"/>
        <w:tab w:val="right" w:pos="9026"/>
      </w:tabs>
    </w:pPr>
  </w:style>
  <w:style w:type="character" w:customStyle="1" w:styleId="HeaderChar">
    <w:name w:val="Header Char"/>
    <w:basedOn w:val="DefaultParagraphFont"/>
    <w:link w:val="Header"/>
    <w:uiPriority w:val="99"/>
    <w:rsid w:val="00357464"/>
    <w:rPr>
      <w:rFonts w:ascii="Franklin Gothic Book" w:hAnsi="Franklin Gothic Book"/>
      <w:sz w:val="24"/>
    </w:rPr>
  </w:style>
  <w:style w:type="paragraph" w:styleId="Footer">
    <w:name w:val="footer"/>
    <w:basedOn w:val="Normal"/>
    <w:link w:val="FooterChar"/>
    <w:uiPriority w:val="99"/>
    <w:unhideWhenUsed/>
    <w:rsid w:val="00357464"/>
    <w:pPr>
      <w:tabs>
        <w:tab w:val="center" w:pos="4513"/>
        <w:tab w:val="right" w:pos="9026"/>
      </w:tabs>
    </w:pPr>
  </w:style>
  <w:style w:type="character" w:customStyle="1" w:styleId="FooterChar">
    <w:name w:val="Footer Char"/>
    <w:basedOn w:val="DefaultParagraphFont"/>
    <w:link w:val="Footer"/>
    <w:uiPriority w:val="99"/>
    <w:rsid w:val="00357464"/>
    <w:rPr>
      <w:rFonts w:ascii="Franklin Gothic Book" w:hAnsi="Franklin Gothic Book"/>
      <w:sz w:val="24"/>
    </w:rPr>
  </w:style>
  <w:style w:type="paragraph" w:customStyle="1" w:styleId="NumberedParagraph">
    <w:name w:val="Numbered Paragraph"/>
    <w:basedOn w:val="ListParagraph"/>
    <w:link w:val="NumberedParagraphChar"/>
    <w:qFormat/>
    <w:rsid w:val="00357464"/>
    <w:pPr>
      <w:numPr>
        <w:numId w:val="5"/>
      </w:numPr>
    </w:pPr>
  </w:style>
  <w:style w:type="character" w:customStyle="1" w:styleId="ListParagraphChar">
    <w:name w:val="List Paragraph Char"/>
    <w:aliases w:val="Numbered list Char"/>
    <w:basedOn w:val="DefaultParagraphFont"/>
    <w:link w:val="ListParagraph"/>
    <w:uiPriority w:val="34"/>
    <w:rsid w:val="00357464"/>
    <w:rPr>
      <w:rFonts w:ascii="Franklin Gothic Book" w:hAnsi="Franklin Gothic Book"/>
      <w:sz w:val="24"/>
    </w:rPr>
  </w:style>
  <w:style w:type="character" w:customStyle="1" w:styleId="NumberedParagraphChar">
    <w:name w:val="Numbered Paragraph Char"/>
    <w:basedOn w:val="ListParagraphChar"/>
    <w:link w:val="NumberedParagraph"/>
    <w:rsid w:val="00357464"/>
    <w:rPr>
      <w:rFonts w:ascii="Franklin Gothic Book" w:hAnsi="Franklin Gothic Book"/>
      <w:sz w:val="24"/>
    </w:rPr>
  </w:style>
  <w:style w:type="paragraph" w:styleId="BalloonText">
    <w:name w:val="Balloon Text"/>
    <w:basedOn w:val="Normal"/>
    <w:link w:val="BalloonTextChar"/>
    <w:uiPriority w:val="99"/>
    <w:semiHidden/>
    <w:unhideWhenUsed/>
    <w:rsid w:val="0035746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64"/>
    <w:rPr>
      <w:rFonts w:ascii="Lucida Grande" w:hAnsi="Lucida Grande" w:cs="Lucida Grande"/>
      <w:sz w:val="18"/>
      <w:szCs w:val="18"/>
    </w:rPr>
  </w:style>
  <w:style w:type="paragraph" w:styleId="BodyText">
    <w:name w:val="Body Text"/>
    <w:basedOn w:val="Normal"/>
    <w:link w:val="BodyTextChar"/>
    <w:semiHidden/>
    <w:rsid w:val="00357464"/>
    <w:pPr>
      <w:spacing w:before="0"/>
    </w:pPr>
    <w:rPr>
      <w:rFonts w:ascii="Arial" w:eastAsia="Times New Roman" w:hAnsi="Arial" w:cs="Arial"/>
      <w:szCs w:val="24"/>
    </w:rPr>
  </w:style>
  <w:style w:type="character" w:customStyle="1" w:styleId="BodyTextChar">
    <w:name w:val="Body Text Char"/>
    <w:basedOn w:val="DefaultParagraphFont"/>
    <w:link w:val="BodyText"/>
    <w:semiHidden/>
    <w:rsid w:val="00357464"/>
    <w:rPr>
      <w:rFonts w:ascii="Arial" w:eastAsia="Times New Roman" w:hAnsi="Arial" w:cs="Arial"/>
      <w:sz w:val="24"/>
      <w:szCs w:val="24"/>
    </w:rPr>
  </w:style>
  <w:style w:type="paragraph" w:styleId="BodyText2">
    <w:name w:val="Body Text 2"/>
    <w:basedOn w:val="Normal"/>
    <w:link w:val="BodyText2Char"/>
    <w:semiHidden/>
    <w:rsid w:val="00357464"/>
    <w:pPr>
      <w:spacing w:before="0"/>
      <w:jc w:val="left"/>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semiHidden/>
    <w:rsid w:val="00357464"/>
    <w:rPr>
      <w:rFonts w:ascii="Times New Roman" w:eastAsia="Times New Roman" w:hAnsi="Times New Roman" w:cs="Times New Roman"/>
      <w:szCs w:val="24"/>
    </w:rPr>
  </w:style>
  <w:style w:type="table" w:styleId="TableGrid">
    <w:name w:val="Table Grid"/>
    <w:basedOn w:val="TableNormal"/>
    <w:uiPriority w:val="39"/>
    <w:rsid w:val="00357464"/>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7464"/>
    <w:rPr>
      <w:color w:val="0000FF"/>
      <w:u w:val="single"/>
    </w:rPr>
  </w:style>
  <w:style w:type="character" w:styleId="CommentReference">
    <w:name w:val="annotation reference"/>
    <w:basedOn w:val="DefaultParagraphFont"/>
    <w:uiPriority w:val="99"/>
    <w:semiHidden/>
    <w:unhideWhenUsed/>
    <w:rsid w:val="00357464"/>
    <w:rPr>
      <w:sz w:val="16"/>
      <w:szCs w:val="16"/>
    </w:rPr>
  </w:style>
  <w:style w:type="paragraph" w:styleId="CommentText">
    <w:name w:val="annotation text"/>
    <w:basedOn w:val="Normal"/>
    <w:link w:val="CommentTextChar"/>
    <w:uiPriority w:val="99"/>
    <w:unhideWhenUsed/>
    <w:rsid w:val="00357464"/>
    <w:rPr>
      <w:sz w:val="20"/>
      <w:szCs w:val="20"/>
    </w:rPr>
  </w:style>
  <w:style w:type="character" w:customStyle="1" w:styleId="CommentTextChar">
    <w:name w:val="Comment Text Char"/>
    <w:basedOn w:val="DefaultParagraphFont"/>
    <w:link w:val="CommentText"/>
    <w:uiPriority w:val="99"/>
    <w:rsid w:val="0035746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357464"/>
    <w:rPr>
      <w:b/>
      <w:bCs/>
    </w:rPr>
  </w:style>
  <w:style w:type="character" w:customStyle="1" w:styleId="CommentSubjectChar">
    <w:name w:val="Comment Subject Char"/>
    <w:basedOn w:val="CommentTextChar"/>
    <w:link w:val="CommentSubject"/>
    <w:uiPriority w:val="99"/>
    <w:semiHidden/>
    <w:rsid w:val="00357464"/>
    <w:rPr>
      <w:rFonts w:ascii="Franklin Gothic Book" w:hAnsi="Franklin Gothic Book"/>
      <w:b/>
      <w:bCs/>
      <w:sz w:val="20"/>
      <w:szCs w:val="20"/>
    </w:rPr>
  </w:style>
  <w:style w:type="paragraph" w:styleId="Revision">
    <w:name w:val="Revision"/>
    <w:hidden/>
    <w:uiPriority w:val="99"/>
    <w:semiHidden/>
    <w:rsid w:val="00357464"/>
    <w:pPr>
      <w:spacing w:after="0" w:line="240" w:lineRule="auto"/>
    </w:pPr>
    <w:rPr>
      <w:rFonts w:ascii="Franklin Gothic Book" w:hAnsi="Franklin Gothic Book"/>
      <w:sz w:val="24"/>
    </w:rPr>
  </w:style>
  <w:style w:type="character" w:styleId="UnresolvedMention">
    <w:name w:val="Unresolved Mention"/>
    <w:basedOn w:val="DefaultParagraphFont"/>
    <w:uiPriority w:val="99"/>
    <w:unhideWhenUsed/>
    <w:rsid w:val="0057588A"/>
    <w:rPr>
      <w:color w:val="605E5C"/>
      <w:shd w:val="clear" w:color="auto" w:fill="E1DFDD"/>
    </w:rPr>
  </w:style>
  <w:style w:type="paragraph" w:customStyle="1" w:styleId="Default">
    <w:name w:val="Default"/>
    <w:rsid w:val="00D83868"/>
    <w:pPr>
      <w:widowControl w:val="0"/>
      <w:autoSpaceDE w:val="0"/>
      <w:autoSpaceDN w:val="0"/>
      <w:adjustRightInd w:val="0"/>
      <w:spacing w:after="0" w:line="240" w:lineRule="auto"/>
    </w:pPr>
    <w:rPr>
      <w:rFonts w:ascii="Arial" w:eastAsiaTheme="minorEastAsia" w:hAnsi="Arial" w:cs="Arial"/>
      <w:color w:val="000000"/>
      <w:sz w:val="24"/>
      <w:szCs w:val="24"/>
      <w:lang w:val="en-US" w:eastAsia="en-GB"/>
    </w:rPr>
  </w:style>
  <w:style w:type="character" w:styleId="FollowedHyperlink">
    <w:name w:val="FollowedHyperlink"/>
    <w:basedOn w:val="DefaultParagraphFont"/>
    <w:uiPriority w:val="99"/>
    <w:semiHidden/>
    <w:unhideWhenUsed/>
    <w:rsid w:val="0033731E"/>
    <w:rPr>
      <w:color w:val="6959C5" w:themeColor="followedHyperlink"/>
      <w:u w:val="single"/>
    </w:rPr>
  </w:style>
  <w:style w:type="character" w:customStyle="1" w:styleId="normaltextrun">
    <w:name w:val="normaltextrun"/>
    <w:basedOn w:val="DefaultParagraphFont"/>
    <w:rsid w:val="006B38D1"/>
  </w:style>
  <w:style w:type="character" w:customStyle="1" w:styleId="eop">
    <w:name w:val="eop"/>
    <w:basedOn w:val="DefaultParagraphFont"/>
    <w:rsid w:val="006B38D1"/>
  </w:style>
  <w:style w:type="character" w:customStyle="1" w:styleId="spellingerror">
    <w:name w:val="spellingerror"/>
    <w:basedOn w:val="DefaultParagraphFont"/>
    <w:rsid w:val="00910BCF"/>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4E2CE7"/>
    <w:pPr>
      <w:spacing w:before="0"/>
    </w:pPr>
    <w:rPr>
      <w:sz w:val="20"/>
      <w:szCs w:val="20"/>
    </w:rPr>
  </w:style>
  <w:style w:type="character" w:customStyle="1" w:styleId="FootnoteTextChar">
    <w:name w:val="Footnote Text Char"/>
    <w:basedOn w:val="DefaultParagraphFont"/>
    <w:link w:val="FootnoteText"/>
    <w:uiPriority w:val="99"/>
    <w:semiHidden/>
    <w:rsid w:val="004E2CE7"/>
    <w:rPr>
      <w:rFonts w:ascii="Franklin Gothic Book" w:hAnsi="Franklin Gothic Book"/>
      <w:sz w:val="20"/>
      <w:szCs w:val="20"/>
    </w:rPr>
  </w:style>
  <w:style w:type="character" w:styleId="FootnoteReference">
    <w:name w:val="footnote reference"/>
    <w:basedOn w:val="DefaultParagraphFont"/>
    <w:uiPriority w:val="99"/>
    <w:semiHidden/>
    <w:unhideWhenUsed/>
    <w:rsid w:val="004E2CE7"/>
    <w:rPr>
      <w:vertAlign w:val="superscript"/>
    </w:rPr>
  </w:style>
  <w:style w:type="paragraph" w:customStyle="1" w:styleId="LIstParagraph3">
    <w:name w:val="LIst Paragraph 3"/>
    <w:basedOn w:val="Normal"/>
    <w:rsid w:val="008C2E4B"/>
    <w:pPr>
      <w:numPr>
        <w:numId w:val="2"/>
      </w:numPr>
      <w:spacing w:after="120"/>
      <w:jc w:val="left"/>
    </w:pPr>
    <w:rPr>
      <w:rFonts w:ascii="Arial" w:hAnsi="Arial"/>
      <w:sz w:val="20"/>
    </w:rPr>
  </w:style>
  <w:style w:type="paragraph" w:customStyle="1" w:styleId="ListParagraphNumbered">
    <w:name w:val="List Paragraph Numbered"/>
    <w:basedOn w:val="ListParagraph"/>
    <w:qFormat/>
    <w:rsid w:val="00B75CEE"/>
    <w:pPr>
      <w:numPr>
        <w:numId w:val="14"/>
      </w:numPr>
      <w:tabs>
        <w:tab w:val="num" w:pos="360"/>
      </w:tabs>
      <w:spacing w:after="120"/>
      <w:jc w:val="left"/>
    </w:pPr>
    <w:rPr>
      <w:rFonts w:ascii="Arial" w:hAnsi="Arial"/>
      <w:sz w:val="20"/>
    </w:rPr>
  </w:style>
  <w:style w:type="paragraph" w:styleId="ListBullet">
    <w:name w:val="List Bullet"/>
    <w:basedOn w:val="Normal"/>
    <w:uiPriority w:val="99"/>
    <w:unhideWhenUsed/>
    <w:rsid w:val="00EC6302"/>
    <w:pPr>
      <w:numPr>
        <w:numId w:val="33"/>
      </w:numPr>
      <w:spacing w:before="0" w:line="300" w:lineRule="exact"/>
      <w:ind w:left="0" w:firstLine="0"/>
      <w:contextualSpacing/>
      <w:jc w:val="left"/>
    </w:pPr>
    <w:rPr>
      <w:rFonts w:asciiTheme="minorHAnsi" w:hAnsiTheme="minorHAnsi"/>
      <w:kern w:val="2"/>
      <w:szCs w:val="24"/>
      <w14:ligatures w14:val="standardContextual"/>
    </w:rPr>
  </w:style>
  <w:style w:type="character" w:customStyle="1" w:styleId="Heading6Char">
    <w:name w:val="Heading 6 Char"/>
    <w:basedOn w:val="DefaultParagraphFont"/>
    <w:link w:val="Heading6"/>
    <w:uiPriority w:val="9"/>
    <w:semiHidden/>
    <w:rsid w:val="00DC6B69"/>
    <w:rPr>
      <w:rFonts w:asciiTheme="majorHAnsi" w:eastAsiaTheme="majorEastAsia" w:hAnsiTheme="majorHAnsi" w:cstheme="majorBidi"/>
      <w:color w:val="2F9B65"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888">
      <w:bodyDiv w:val="1"/>
      <w:marLeft w:val="0"/>
      <w:marRight w:val="0"/>
      <w:marTop w:val="0"/>
      <w:marBottom w:val="0"/>
      <w:divBdr>
        <w:top w:val="none" w:sz="0" w:space="0" w:color="auto"/>
        <w:left w:val="none" w:sz="0" w:space="0" w:color="auto"/>
        <w:bottom w:val="none" w:sz="0" w:space="0" w:color="auto"/>
        <w:right w:val="none" w:sz="0" w:space="0" w:color="auto"/>
      </w:divBdr>
    </w:div>
    <w:div w:id="223489501">
      <w:bodyDiv w:val="1"/>
      <w:marLeft w:val="0"/>
      <w:marRight w:val="0"/>
      <w:marTop w:val="0"/>
      <w:marBottom w:val="0"/>
      <w:divBdr>
        <w:top w:val="none" w:sz="0" w:space="0" w:color="auto"/>
        <w:left w:val="none" w:sz="0" w:space="0" w:color="auto"/>
        <w:bottom w:val="none" w:sz="0" w:space="0" w:color="auto"/>
        <w:right w:val="none" w:sz="0" w:space="0" w:color="auto"/>
      </w:divBdr>
    </w:div>
    <w:div w:id="246887714">
      <w:bodyDiv w:val="1"/>
      <w:marLeft w:val="0"/>
      <w:marRight w:val="0"/>
      <w:marTop w:val="0"/>
      <w:marBottom w:val="0"/>
      <w:divBdr>
        <w:top w:val="none" w:sz="0" w:space="0" w:color="auto"/>
        <w:left w:val="none" w:sz="0" w:space="0" w:color="auto"/>
        <w:bottom w:val="none" w:sz="0" w:space="0" w:color="auto"/>
        <w:right w:val="none" w:sz="0" w:space="0" w:color="auto"/>
      </w:divBdr>
    </w:div>
    <w:div w:id="359361046">
      <w:bodyDiv w:val="1"/>
      <w:marLeft w:val="0"/>
      <w:marRight w:val="0"/>
      <w:marTop w:val="0"/>
      <w:marBottom w:val="0"/>
      <w:divBdr>
        <w:top w:val="none" w:sz="0" w:space="0" w:color="auto"/>
        <w:left w:val="none" w:sz="0" w:space="0" w:color="auto"/>
        <w:bottom w:val="none" w:sz="0" w:space="0" w:color="auto"/>
        <w:right w:val="none" w:sz="0" w:space="0" w:color="auto"/>
      </w:divBdr>
    </w:div>
    <w:div w:id="426734947">
      <w:bodyDiv w:val="1"/>
      <w:marLeft w:val="0"/>
      <w:marRight w:val="0"/>
      <w:marTop w:val="0"/>
      <w:marBottom w:val="0"/>
      <w:divBdr>
        <w:top w:val="none" w:sz="0" w:space="0" w:color="auto"/>
        <w:left w:val="none" w:sz="0" w:space="0" w:color="auto"/>
        <w:bottom w:val="none" w:sz="0" w:space="0" w:color="auto"/>
        <w:right w:val="none" w:sz="0" w:space="0" w:color="auto"/>
      </w:divBdr>
    </w:div>
    <w:div w:id="483349990">
      <w:bodyDiv w:val="1"/>
      <w:marLeft w:val="0"/>
      <w:marRight w:val="0"/>
      <w:marTop w:val="0"/>
      <w:marBottom w:val="0"/>
      <w:divBdr>
        <w:top w:val="none" w:sz="0" w:space="0" w:color="auto"/>
        <w:left w:val="none" w:sz="0" w:space="0" w:color="auto"/>
        <w:bottom w:val="none" w:sz="0" w:space="0" w:color="auto"/>
        <w:right w:val="none" w:sz="0" w:space="0" w:color="auto"/>
      </w:divBdr>
    </w:div>
    <w:div w:id="1579553500">
      <w:bodyDiv w:val="1"/>
      <w:marLeft w:val="0"/>
      <w:marRight w:val="0"/>
      <w:marTop w:val="0"/>
      <w:marBottom w:val="0"/>
      <w:divBdr>
        <w:top w:val="none" w:sz="0" w:space="0" w:color="auto"/>
        <w:left w:val="none" w:sz="0" w:space="0" w:color="auto"/>
        <w:bottom w:val="none" w:sz="0" w:space="0" w:color="auto"/>
        <w:right w:val="none" w:sz="0" w:space="0" w:color="auto"/>
      </w:divBdr>
    </w:div>
    <w:div w:id="1772359295">
      <w:bodyDiv w:val="1"/>
      <w:marLeft w:val="0"/>
      <w:marRight w:val="0"/>
      <w:marTop w:val="0"/>
      <w:marBottom w:val="0"/>
      <w:divBdr>
        <w:top w:val="none" w:sz="0" w:space="0" w:color="auto"/>
        <w:left w:val="none" w:sz="0" w:space="0" w:color="auto"/>
        <w:bottom w:val="none" w:sz="0" w:space="0" w:color="auto"/>
        <w:right w:val="none" w:sz="0" w:space="0" w:color="auto"/>
      </w:divBdr>
    </w:div>
    <w:div w:id="21039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f.nice.org.uk/drugs/naloxone-hydrochloride/" TargetMode="External"/><Relationship Id="rId18" Type="http://schemas.openxmlformats.org/officeDocument/2006/relationships/hyperlink" Target="https://www.medicines.org.uk/emc/product/9292/rmms" TargetMode="External"/><Relationship Id="rId26" Type="http://schemas.openxmlformats.org/officeDocument/2006/relationships/hyperlink" Target="https://naloxone.uk/wp-content/uploads/sites/7/2023/03/2022-07-UK-PIL-Naloxone.pdf" TargetMode="External"/><Relationship Id="rId3" Type="http://schemas.openxmlformats.org/officeDocument/2006/relationships/customXml" Target="../customXml/item3.xml"/><Relationship Id="rId21" Type="http://schemas.openxmlformats.org/officeDocument/2006/relationships/hyperlink" Target="https://www.medicines.org.uk/emc/product/3054/smpc"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cines.org.uk/emc/product/9292/smpc" TargetMode="External"/><Relationship Id="rId17" Type="http://schemas.openxmlformats.org/officeDocument/2006/relationships/hyperlink" Target="https://www.medicines.org.uk/emc/product/9292/video" TargetMode="External"/><Relationship Id="rId25" Type="http://schemas.openxmlformats.org/officeDocument/2006/relationships/hyperlink" Target="https://www.medicines.org.uk/emc/files/pil.9292.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ommunity-pharmacy-delivering-substance-misuse-services/community-pharmacy-delivering-substance-misuse-services" TargetMode="External"/><Relationship Id="rId20" Type="http://schemas.openxmlformats.org/officeDocument/2006/relationships/hyperlink" Target="http://www.prenoxadinjection.com/downloads/clients_guide.pdf" TargetMode="External"/><Relationship Id="rId29" Type="http://schemas.openxmlformats.org/officeDocument/2006/relationships/hyperlink" Target="https://www.smmgp-elearnin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product/3054/smpc" TargetMode="External"/><Relationship Id="rId24" Type="http://schemas.openxmlformats.org/officeDocument/2006/relationships/hyperlink" Target="https://www.medicines.org.uk/emc/files/pil.3054.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73978/clinical_guidelines_2017.pdf" TargetMode="External"/><Relationship Id="rId23" Type="http://schemas.openxmlformats.org/officeDocument/2006/relationships/hyperlink" Target="https://www.ap-elearning.org.uk/" TargetMode="External"/><Relationship Id="rId28" Type="http://schemas.openxmlformats.org/officeDocument/2006/relationships/hyperlink" Target="https://www.sja.org.uk/get-advice/first-aid-advice/unresponsive-casualty/how-to-do-cpr-on-an-adul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yxoid.com/uk/hcp/about" TargetMode="External"/><Relationship Id="rId31" Type="http://schemas.openxmlformats.org/officeDocument/2006/relationships/hyperlink" Target="https://www.nyxoid.com/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idening-the-availability-of-naloxone/widening-the-availability-of-naloxone" TargetMode="External"/><Relationship Id="rId22" Type="http://schemas.openxmlformats.org/officeDocument/2006/relationships/hyperlink" Target="https://naloxone.uk/" TargetMode="External"/><Relationship Id="rId27" Type="http://schemas.openxmlformats.org/officeDocument/2006/relationships/hyperlink" Target="https://www.resus.org.uk/library/2021-resuscitation-guidelines/adult-basic-life-support-guidelines" TargetMode="External"/><Relationship Id="rId30" Type="http://schemas.openxmlformats.org/officeDocument/2006/relationships/hyperlink" Target="http://www.prenoxadinjection.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1E7CC"/>
      </a:accent1>
      <a:accent2>
        <a:srgbClr val="77C29C"/>
      </a:accent2>
      <a:accent3>
        <a:srgbClr val="599879"/>
      </a:accent3>
      <a:accent4>
        <a:srgbClr val="D7D0FF"/>
      </a:accent4>
      <a:accent5>
        <a:srgbClr val="A79AF6"/>
      </a:accent5>
      <a:accent6>
        <a:srgbClr val="8676E3"/>
      </a:accent6>
      <a:hlink>
        <a:srgbClr val="0E7E8E"/>
      </a:hlink>
      <a:folHlink>
        <a:srgbClr val="6959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98367-e228-4b51-b2d6-8f7ca6abd1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3869D0336E4408AF0570F9D8BBE85" ma:contentTypeVersion="14" ma:contentTypeDescription="Create a new document." ma:contentTypeScope="" ma:versionID="cdfefd49550f627403833570658b8507">
  <xsd:schema xmlns:xsd="http://www.w3.org/2001/XMLSchema" xmlns:xs="http://www.w3.org/2001/XMLSchema" xmlns:p="http://schemas.microsoft.com/office/2006/metadata/properties" xmlns:ns2="0c298367-e228-4b51-b2d6-8f7ca6abd1c5" xmlns:ns3="87dadcd6-701d-4ebc-b8d9-36ac59727791" targetNamespace="http://schemas.microsoft.com/office/2006/metadata/properties" ma:root="true" ma:fieldsID="e3c1bf45e485d77d701c2e95f4d2c543" ns2:_="" ns3:_="">
    <xsd:import namespace="0c298367-e228-4b51-b2d6-8f7ca6abd1c5"/>
    <xsd:import namespace="87dadcd6-701d-4ebc-b8d9-36ac59727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98367-e228-4b51-b2d6-8f7ca6abd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adcd6-701d-4ebc-b8d9-36ac597277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D5DB-F91A-44EA-8A01-CBCFECFEBCA0}">
  <ds:schemaRefs>
    <ds:schemaRef ds:uri="http://schemas.microsoft.com/sharepoint/v3/contenttype/forms"/>
  </ds:schemaRefs>
</ds:datastoreItem>
</file>

<file path=customXml/itemProps2.xml><?xml version="1.0" encoding="utf-8"?>
<ds:datastoreItem xmlns:ds="http://schemas.openxmlformats.org/officeDocument/2006/customXml" ds:itemID="{5E525CFB-4267-4EBB-8786-BE6C2EF9B552}">
  <ds:schemaRefs>
    <ds:schemaRef ds:uri="http://schemas.microsoft.com/office/2006/metadata/properties"/>
    <ds:schemaRef ds:uri="http://schemas.microsoft.com/office/infopath/2007/PartnerControls"/>
    <ds:schemaRef ds:uri="0c298367-e228-4b51-b2d6-8f7ca6abd1c5"/>
  </ds:schemaRefs>
</ds:datastoreItem>
</file>

<file path=customXml/itemProps3.xml><?xml version="1.0" encoding="utf-8"?>
<ds:datastoreItem xmlns:ds="http://schemas.openxmlformats.org/officeDocument/2006/customXml" ds:itemID="{42E6AFA1-5FA8-47E3-990D-462454E77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98367-e228-4b51-b2d6-8f7ca6abd1c5"/>
    <ds:schemaRef ds:uri="87dadcd6-701d-4ebc-b8d9-36ac5972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FBAA5-1519-40E6-9C3C-373EB93E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4634</Words>
  <Characters>26415</Characters>
  <Application>Microsoft Office Word</Application>
  <DocSecurity>12</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Gittins</dc:creator>
  <cp:keywords/>
  <dc:description/>
  <cp:lastModifiedBy>Barbara Zub</cp:lastModifiedBy>
  <cp:revision>2</cp:revision>
  <dcterms:created xsi:type="dcterms:W3CDTF">2026-04-13T09:45:00Z</dcterms:created>
  <dcterms:modified xsi:type="dcterms:W3CDTF">2026-04-13T09:45:00Z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0x010100C383869D0336E4408AF0570F9D8BBE85</vt:lpwstr>
  </property>
  <property fmtid="{D5CDD505-2E9C-101B-9397-08002B2CF9AE}" pid="3" name="Order">
    <vt:r8>171700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